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7F" w:rsidRDefault="00BB2B6A">
      <w:pPr>
        <w:jc w:val="center"/>
        <w:rPr>
          <w:rFonts w:ascii="黑体" w:eastAsia="黑体" w:hAnsi="黑体" w:cs="黑体"/>
          <w:b/>
          <w:bCs/>
          <w:sz w:val="52"/>
          <w:szCs w:val="72"/>
        </w:rPr>
      </w:pPr>
      <w:r>
        <w:rPr>
          <w:rFonts w:ascii="黑体" w:eastAsia="黑体" w:hAnsi="黑体" w:cs="黑体" w:hint="eastAsia"/>
          <w:b/>
          <w:bCs/>
          <w:sz w:val="52"/>
          <w:szCs w:val="72"/>
        </w:rPr>
        <w:t>学位授权点建设年度报告</w:t>
      </w:r>
    </w:p>
    <w:p w:rsidR="000C137F" w:rsidRDefault="00BB2B6A">
      <w:pPr>
        <w:jc w:val="cente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2021</w:t>
      </w:r>
      <w:r>
        <w:rPr>
          <w:rFonts w:ascii="楷体" w:eastAsia="楷体" w:hAnsi="楷体" w:cs="楷体" w:hint="eastAsia"/>
          <w:sz w:val="28"/>
          <w:szCs w:val="36"/>
        </w:rPr>
        <w:t>年）</w:t>
      </w:r>
    </w:p>
    <w:p w:rsidR="000C137F" w:rsidRDefault="000C137F"/>
    <w:p w:rsidR="000C137F" w:rsidRDefault="000C137F"/>
    <w:p w:rsidR="000C137F" w:rsidRDefault="000C137F"/>
    <w:p w:rsidR="000C137F" w:rsidRDefault="000C137F"/>
    <w:p w:rsidR="000C137F" w:rsidRDefault="000C137F"/>
    <w:tbl>
      <w:tblPr>
        <w:tblW w:w="0" w:type="auto"/>
        <w:tblBorders>
          <w:insideH w:val="single" w:sz="4" w:space="0" w:color="auto"/>
          <w:insideV w:val="single" w:sz="4" w:space="0" w:color="auto"/>
        </w:tblBorders>
        <w:tblLook w:val="04A0" w:firstRow="1" w:lastRow="0" w:firstColumn="1" w:lastColumn="0" w:noHBand="0" w:noVBand="1"/>
      </w:tblPr>
      <w:tblGrid>
        <w:gridCol w:w="4261"/>
        <w:gridCol w:w="2867"/>
      </w:tblGrid>
      <w:tr w:rsidR="000C137F">
        <w:tc>
          <w:tcPr>
            <w:tcW w:w="4261" w:type="dxa"/>
            <w:vMerge w:val="restart"/>
            <w:shd w:val="clear" w:color="auto" w:fill="auto"/>
            <w:vAlign w:val="center"/>
          </w:tcPr>
          <w:p w:rsidR="000C137F" w:rsidRDefault="00BB2B6A">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学位授予单位</w:t>
            </w:r>
          </w:p>
        </w:tc>
        <w:tc>
          <w:tcPr>
            <w:tcW w:w="2867"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名称</w:t>
            </w:r>
            <w:r>
              <w:rPr>
                <w:rFonts w:ascii="楷体" w:eastAsia="楷体" w:hAnsi="楷体" w:cs="楷体" w:hint="eastAsia"/>
                <w:sz w:val="28"/>
                <w:szCs w:val="36"/>
              </w:rPr>
              <w:t xml:space="preserve">  </w:t>
            </w:r>
            <w:r>
              <w:rPr>
                <w:rFonts w:ascii="楷体" w:eastAsia="楷体" w:hAnsi="楷体" w:cs="楷体" w:hint="eastAsia"/>
                <w:sz w:val="28"/>
                <w:szCs w:val="36"/>
              </w:rPr>
              <w:t>福建农林大学</w:t>
            </w:r>
          </w:p>
        </w:tc>
      </w:tr>
      <w:tr w:rsidR="000C137F">
        <w:tc>
          <w:tcPr>
            <w:tcW w:w="4261" w:type="dxa"/>
            <w:vMerge/>
            <w:shd w:val="clear" w:color="auto" w:fill="auto"/>
          </w:tcPr>
          <w:p w:rsidR="000C137F" w:rsidRDefault="000C137F">
            <w:pPr>
              <w:rPr>
                <w:rFonts w:ascii="楷体" w:eastAsia="楷体" w:hAnsi="楷体" w:cs="楷体"/>
                <w:sz w:val="28"/>
                <w:szCs w:val="36"/>
              </w:rPr>
            </w:pPr>
          </w:p>
        </w:tc>
        <w:tc>
          <w:tcPr>
            <w:tcW w:w="2867"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代码</w:t>
            </w:r>
            <w:r>
              <w:rPr>
                <w:rFonts w:ascii="楷体" w:eastAsia="楷体" w:hAnsi="楷体" w:cs="楷体" w:hint="eastAsia"/>
                <w:sz w:val="28"/>
                <w:szCs w:val="36"/>
              </w:rPr>
              <w:t xml:space="preserve">  10389</w:t>
            </w:r>
          </w:p>
        </w:tc>
      </w:tr>
    </w:tbl>
    <w:p w:rsidR="000C137F" w:rsidRDefault="000C137F">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068"/>
        <w:gridCol w:w="3008"/>
      </w:tblGrid>
      <w:tr w:rsidR="000C137F">
        <w:tc>
          <w:tcPr>
            <w:tcW w:w="4068" w:type="dxa"/>
            <w:vMerge w:val="restart"/>
            <w:shd w:val="clear" w:color="auto" w:fill="auto"/>
            <w:vAlign w:val="center"/>
          </w:tcPr>
          <w:p w:rsidR="000C137F" w:rsidRDefault="00BB2B6A">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授权学科</w:t>
            </w:r>
          </w:p>
          <w:p w:rsidR="000C137F" w:rsidRDefault="00BB2B6A">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（类别）</w:t>
            </w:r>
          </w:p>
        </w:tc>
        <w:tc>
          <w:tcPr>
            <w:tcW w:w="3008"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名称</w:t>
            </w:r>
            <w:r>
              <w:rPr>
                <w:rFonts w:ascii="楷体" w:eastAsia="楷体" w:hAnsi="楷体" w:cs="楷体" w:hint="eastAsia"/>
                <w:sz w:val="28"/>
                <w:szCs w:val="36"/>
              </w:rPr>
              <w:t xml:space="preserve"> </w:t>
            </w:r>
            <w:r>
              <w:rPr>
                <w:rFonts w:ascii="楷体" w:eastAsia="楷体" w:hAnsi="楷体" w:cs="楷体" w:hint="eastAsia"/>
                <w:sz w:val="28"/>
                <w:szCs w:val="36"/>
              </w:rPr>
              <w:t>马克思主义理论</w:t>
            </w:r>
          </w:p>
        </w:tc>
      </w:tr>
      <w:tr w:rsidR="000C137F">
        <w:tc>
          <w:tcPr>
            <w:tcW w:w="4068" w:type="dxa"/>
            <w:vMerge/>
            <w:shd w:val="clear" w:color="auto" w:fill="auto"/>
          </w:tcPr>
          <w:p w:rsidR="000C137F" w:rsidRDefault="000C137F">
            <w:pPr>
              <w:rPr>
                <w:rFonts w:ascii="楷体" w:eastAsia="楷体" w:hAnsi="楷体" w:cs="楷体"/>
                <w:sz w:val="28"/>
                <w:szCs w:val="36"/>
              </w:rPr>
            </w:pPr>
          </w:p>
        </w:tc>
        <w:tc>
          <w:tcPr>
            <w:tcW w:w="3008"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代码</w:t>
            </w:r>
            <w:r>
              <w:rPr>
                <w:rFonts w:ascii="楷体" w:eastAsia="楷体" w:hAnsi="楷体" w:cs="楷体" w:hint="eastAsia"/>
                <w:sz w:val="28"/>
                <w:szCs w:val="36"/>
              </w:rPr>
              <w:t xml:space="preserve">    0305</w:t>
            </w:r>
          </w:p>
        </w:tc>
      </w:tr>
    </w:tbl>
    <w:p w:rsidR="000C137F" w:rsidRDefault="000C137F">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347"/>
      </w:tblGrid>
      <w:tr w:rsidR="000C137F">
        <w:tc>
          <w:tcPr>
            <w:tcW w:w="4261" w:type="dxa"/>
            <w:vMerge w:val="restart"/>
            <w:shd w:val="clear" w:color="auto" w:fill="auto"/>
            <w:vAlign w:val="center"/>
          </w:tcPr>
          <w:p w:rsidR="000C137F" w:rsidRDefault="00BB2B6A">
            <w:pPr>
              <w:jc w:val="center"/>
              <w:rPr>
                <w:rFonts w:ascii="楷体" w:eastAsia="楷体" w:hAnsi="楷体" w:cs="楷体"/>
                <w:sz w:val="28"/>
                <w:szCs w:val="36"/>
              </w:rPr>
            </w:pPr>
            <w:r>
              <w:rPr>
                <w:rFonts w:ascii="楷体" w:eastAsia="楷体" w:hAnsi="楷体" w:cs="楷体" w:hint="eastAsia"/>
                <w:sz w:val="28"/>
                <w:szCs w:val="36"/>
              </w:rPr>
              <w:t xml:space="preserve">               </w:t>
            </w:r>
            <w:r>
              <w:rPr>
                <w:rFonts w:ascii="楷体" w:eastAsia="楷体" w:hAnsi="楷体" w:cs="楷体" w:hint="eastAsia"/>
                <w:sz w:val="28"/>
                <w:szCs w:val="36"/>
              </w:rPr>
              <w:t>授权级别</w:t>
            </w:r>
          </w:p>
        </w:tc>
        <w:tc>
          <w:tcPr>
            <w:tcW w:w="2347"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 xml:space="preserve"> </w:t>
            </w:r>
            <w:r>
              <w:rPr>
                <w:rFonts w:ascii="楷体" w:eastAsia="楷体" w:hAnsi="楷体" w:cs="楷体" w:hint="eastAsia"/>
                <w:sz w:val="28"/>
                <w:szCs w:val="36"/>
              </w:rPr>
              <w:t>博士</w:t>
            </w:r>
          </w:p>
        </w:tc>
      </w:tr>
      <w:tr w:rsidR="000C137F">
        <w:tc>
          <w:tcPr>
            <w:tcW w:w="4261" w:type="dxa"/>
            <w:vMerge/>
            <w:shd w:val="clear" w:color="auto" w:fill="auto"/>
          </w:tcPr>
          <w:p w:rsidR="000C137F" w:rsidRDefault="000C137F">
            <w:pPr>
              <w:rPr>
                <w:rFonts w:ascii="楷体" w:eastAsia="楷体" w:hAnsi="楷体" w:cs="楷体"/>
                <w:sz w:val="28"/>
                <w:szCs w:val="36"/>
              </w:rPr>
            </w:pPr>
          </w:p>
        </w:tc>
        <w:tc>
          <w:tcPr>
            <w:tcW w:w="2347" w:type="dxa"/>
            <w:shd w:val="clear" w:color="auto" w:fill="auto"/>
          </w:tcPr>
          <w:p w:rsidR="000C137F" w:rsidRDefault="00BB2B6A">
            <w:pPr>
              <w:rPr>
                <w:rFonts w:ascii="楷体" w:eastAsia="楷体" w:hAnsi="楷体" w:cs="楷体"/>
                <w:sz w:val="28"/>
                <w:szCs w:val="36"/>
              </w:rPr>
            </w:pPr>
            <w:r>
              <w:rPr>
                <w:rFonts w:ascii="楷体" w:eastAsia="楷体" w:hAnsi="楷体" w:cs="楷体" w:hint="eastAsia"/>
                <w:sz w:val="28"/>
                <w:szCs w:val="36"/>
              </w:rPr>
              <w:t>☑</w:t>
            </w:r>
            <w:r>
              <w:rPr>
                <w:rFonts w:ascii="楷体" w:eastAsia="楷体" w:hAnsi="楷体" w:cs="楷体" w:hint="eastAsia"/>
                <w:sz w:val="28"/>
                <w:szCs w:val="36"/>
              </w:rPr>
              <w:t xml:space="preserve"> </w:t>
            </w:r>
            <w:r>
              <w:rPr>
                <w:rFonts w:ascii="楷体" w:eastAsia="楷体" w:hAnsi="楷体" w:cs="楷体" w:hint="eastAsia"/>
                <w:sz w:val="28"/>
                <w:szCs w:val="36"/>
              </w:rPr>
              <w:t>硕士</w:t>
            </w:r>
          </w:p>
        </w:tc>
      </w:tr>
    </w:tbl>
    <w:p w:rsidR="000C137F" w:rsidRDefault="000C137F">
      <w:pPr>
        <w:rPr>
          <w:rFonts w:ascii="楷体" w:eastAsia="楷体" w:hAnsi="楷体" w:cs="楷体"/>
          <w:sz w:val="28"/>
          <w:szCs w:val="36"/>
        </w:rPr>
      </w:pPr>
    </w:p>
    <w:p w:rsidR="000C137F" w:rsidRDefault="000C137F">
      <w:pPr>
        <w:jc w:val="center"/>
        <w:rPr>
          <w:rFonts w:ascii="楷体" w:eastAsia="楷体" w:hAnsi="楷体" w:cs="楷体"/>
          <w:sz w:val="36"/>
          <w:szCs w:val="44"/>
        </w:rPr>
      </w:pPr>
    </w:p>
    <w:p w:rsidR="000C137F" w:rsidRDefault="00BB2B6A">
      <w:pPr>
        <w:jc w:val="center"/>
        <w:rPr>
          <w:rFonts w:ascii="楷体" w:eastAsia="楷体" w:hAnsi="楷体" w:cs="楷体"/>
          <w:sz w:val="28"/>
          <w:szCs w:val="36"/>
        </w:rPr>
      </w:pPr>
      <w:r>
        <w:rPr>
          <w:rFonts w:ascii="楷体" w:eastAsia="楷体" w:hAnsi="楷体" w:cs="楷体" w:hint="eastAsia"/>
          <w:sz w:val="28"/>
          <w:szCs w:val="36"/>
        </w:rPr>
        <w:t>2022</w:t>
      </w:r>
      <w:r>
        <w:rPr>
          <w:rFonts w:ascii="楷体" w:eastAsia="楷体" w:hAnsi="楷体" w:cs="楷体" w:hint="eastAsia"/>
          <w:sz w:val="28"/>
          <w:szCs w:val="36"/>
        </w:rPr>
        <w:t>年</w:t>
      </w:r>
      <w:r>
        <w:rPr>
          <w:rFonts w:ascii="楷体" w:eastAsia="楷体" w:hAnsi="楷体" w:cs="楷体" w:hint="eastAsia"/>
          <w:sz w:val="28"/>
          <w:szCs w:val="36"/>
        </w:rPr>
        <w:t>3</w:t>
      </w:r>
      <w:r>
        <w:rPr>
          <w:rFonts w:ascii="楷体" w:eastAsia="楷体" w:hAnsi="楷体" w:cs="楷体" w:hint="eastAsia"/>
          <w:sz w:val="28"/>
          <w:szCs w:val="36"/>
        </w:rPr>
        <w:t>月</w:t>
      </w:r>
      <w:r>
        <w:rPr>
          <w:rFonts w:ascii="楷体" w:eastAsia="楷体" w:hAnsi="楷体" w:cs="楷体" w:hint="eastAsia"/>
          <w:sz w:val="28"/>
          <w:szCs w:val="36"/>
        </w:rPr>
        <w:t>30</w:t>
      </w:r>
      <w:r>
        <w:rPr>
          <w:rFonts w:ascii="楷体" w:eastAsia="楷体" w:hAnsi="楷体" w:cs="楷体" w:hint="eastAsia"/>
          <w:sz w:val="28"/>
          <w:szCs w:val="36"/>
        </w:rPr>
        <w:t>日</w:t>
      </w:r>
    </w:p>
    <w:p w:rsidR="000C137F" w:rsidRDefault="000C137F"/>
    <w:p w:rsidR="000C137F" w:rsidRDefault="000C137F"/>
    <w:p w:rsidR="000C137F" w:rsidRDefault="000C137F"/>
    <w:p w:rsidR="000C137F" w:rsidRDefault="000C137F">
      <w:pPr>
        <w:snapToGrid w:val="0"/>
        <w:spacing w:line="600" w:lineRule="exact"/>
        <w:jc w:val="center"/>
        <w:rPr>
          <w:rFonts w:ascii="方正小标宋_GBK" w:eastAsia="方正小标宋_GBK" w:hAnsi="仿宋"/>
          <w:sz w:val="44"/>
          <w:szCs w:val="44"/>
        </w:rPr>
      </w:pPr>
    </w:p>
    <w:p w:rsidR="000C137F" w:rsidRDefault="000C137F">
      <w:pPr>
        <w:snapToGrid w:val="0"/>
        <w:spacing w:line="600" w:lineRule="exact"/>
        <w:jc w:val="center"/>
        <w:rPr>
          <w:rFonts w:ascii="方正小标宋_GBK" w:eastAsia="方正小标宋_GBK" w:hAnsi="仿宋"/>
          <w:sz w:val="44"/>
          <w:szCs w:val="44"/>
        </w:rPr>
      </w:pPr>
    </w:p>
    <w:p w:rsidR="000C137F" w:rsidRDefault="000C137F">
      <w:pPr>
        <w:snapToGrid w:val="0"/>
        <w:spacing w:line="600" w:lineRule="exact"/>
        <w:jc w:val="center"/>
        <w:rPr>
          <w:rFonts w:ascii="方正小标宋_GBK" w:eastAsia="方正小标宋_GBK" w:hAnsi="仿宋"/>
          <w:sz w:val="44"/>
          <w:szCs w:val="44"/>
        </w:rPr>
      </w:pPr>
    </w:p>
    <w:p w:rsidR="000C137F" w:rsidRDefault="000C137F">
      <w:pPr>
        <w:spacing w:line="600" w:lineRule="exact"/>
        <w:rPr>
          <w:rFonts w:ascii="黑体" w:eastAsia="黑体" w:hAnsi="黑体" w:cs="黑体"/>
          <w:bCs/>
          <w:sz w:val="32"/>
          <w:szCs w:val="32"/>
        </w:rPr>
      </w:pPr>
    </w:p>
    <w:p w:rsidR="000C137F" w:rsidRDefault="000C137F">
      <w:pPr>
        <w:spacing w:line="600" w:lineRule="exact"/>
        <w:rPr>
          <w:rFonts w:ascii="黑体" w:eastAsia="黑体" w:hAnsi="黑体" w:cs="黑体"/>
          <w:bCs/>
          <w:sz w:val="32"/>
          <w:szCs w:val="32"/>
        </w:rPr>
      </w:pPr>
    </w:p>
    <w:p w:rsidR="000C137F" w:rsidRDefault="00BB2B6A">
      <w:pPr>
        <w:spacing w:line="600" w:lineRule="exact"/>
        <w:rPr>
          <w:rFonts w:ascii="黑体" w:eastAsia="黑体" w:hAnsi="黑体" w:cs="黑体"/>
          <w:bCs/>
          <w:sz w:val="32"/>
          <w:szCs w:val="32"/>
        </w:rPr>
      </w:pPr>
      <w:r>
        <w:rPr>
          <w:rFonts w:ascii="黑体" w:eastAsia="黑体" w:hAnsi="黑体" w:cs="黑体" w:hint="eastAsia"/>
          <w:bCs/>
          <w:sz w:val="32"/>
          <w:szCs w:val="32"/>
        </w:rPr>
        <w:lastRenderedPageBreak/>
        <w:t>一、学位授权点基本情况</w:t>
      </w:r>
      <w:bookmarkStart w:id="0" w:name="_Hlk97758886"/>
    </w:p>
    <w:bookmarkEnd w:id="0"/>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福建农林大学地处海上丝绸之路门户、首批对外开放的沿海港口城市——福州，是一所以农林学科为优势和特色，理、工、经、管、文、法、艺等多学科协调发展的省属重点大学，是农业农村部、国家林草局与福建省政府共建高校，福建省一流大学建设高校。</w:t>
      </w:r>
    </w:p>
    <w:p w:rsidR="000C137F" w:rsidRDefault="00BB2B6A">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学校现有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个一级学科博士学位授权点，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个博士专业学位授权点，</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个一级学科硕士学位授权点，</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个硕士专业学位授权点，</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个博士后科研流动站。有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个国家重点学科、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个国家重点培育学科、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个农业农村部重点学科和</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个国家林草局重点学科。在全国第四轮学科评估中，有</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个学科进入榜单。</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福建农林大学于</w:t>
      </w:r>
      <w:r>
        <w:rPr>
          <w:rFonts w:ascii="仿宋_GB2312" w:eastAsia="仿宋_GB2312" w:hAnsi="仿宋" w:cs="仿宋" w:hint="eastAsia"/>
          <w:sz w:val="32"/>
          <w:szCs w:val="32"/>
        </w:rPr>
        <w:t>2006</w:t>
      </w:r>
      <w:r>
        <w:rPr>
          <w:rFonts w:ascii="仿宋_GB2312" w:eastAsia="仿宋_GB2312" w:hAnsi="仿宋" w:cs="仿宋" w:hint="eastAsia"/>
          <w:sz w:val="32"/>
          <w:szCs w:val="32"/>
        </w:rPr>
        <w:t>年获批“马克思主义理论与思想政治教育”硕士学位授予权，设立马克思主义中国化、思想政治教育二级学科硕士点。</w:t>
      </w:r>
      <w:r>
        <w:rPr>
          <w:rFonts w:ascii="仿宋_GB2312" w:eastAsia="仿宋_GB2312" w:hAnsi="仿宋" w:cs="仿宋" w:hint="eastAsia"/>
          <w:sz w:val="32"/>
          <w:szCs w:val="32"/>
        </w:rPr>
        <w:t>2009</w:t>
      </w:r>
      <w:r>
        <w:rPr>
          <w:rFonts w:ascii="仿宋_GB2312" w:eastAsia="仿宋_GB2312" w:hAnsi="仿宋" w:cs="仿宋" w:hint="eastAsia"/>
          <w:sz w:val="32"/>
          <w:szCs w:val="32"/>
        </w:rPr>
        <w:t>年，获“马克思主义中国化研究”二级学科为省级重点学科。</w:t>
      </w:r>
      <w:r>
        <w:rPr>
          <w:rFonts w:ascii="仿宋_GB2312" w:eastAsia="仿宋_GB2312" w:hAnsi="仿宋" w:cs="仿宋" w:hint="eastAsia"/>
          <w:sz w:val="32"/>
          <w:szCs w:val="32"/>
        </w:rPr>
        <w:t>2010</w:t>
      </w:r>
      <w:r>
        <w:rPr>
          <w:rFonts w:ascii="仿宋_GB2312" w:eastAsia="仿宋_GB2312" w:hAnsi="仿宋" w:cs="仿宋" w:hint="eastAsia"/>
          <w:sz w:val="32"/>
          <w:szCs w:val="32"/>
        </w:rPr>
        <w:t>年，增设马克思主义理论为一级学科，下设马克思主义基本原理、马克思主义中国化研究、思想政治教育、中国近现代史基本问题研究专业。</w:t>
      </w:r>
      <w:r>
        <w:rPr>
          <w:rFonts w:ascii="仿宋_GB2312" w:eastAsia="仿宋_GB2312" w:hAnsi="仿宋" w:cs="仿宋" w:hint="eastAsia"/>
          <w:sz w:val="32"/>
          <w:szCs w:val="32"/>
        </w:rPr>
        <w:t>2012</w:t>
      </w:r>
      <w:r>
        <w:rPr>
          <w:rFonts w:ascii="仿宋_GB2312" w:eastAsia="仿宋_GB2312" w:hAnsi="仿宋" w:cs="仿宋" w:hint="eastAsia"/>
          <w:sz w:val="32"/>
          <w:szCs w:val="32"/>
        </w:rPr>
        <w:t>年，“马克思主义理论”一级学科省级重点学科通过评审；</w:t>
      </w:r>
      <w:r>
        <w:rPr>
          <w:rFonts w:ascii="仿宋_GB2312" w:eastAsia="仿宋_GB2312" w:hAnsi="仿宋" w:cs="仿宋" w:hint="eastAsia"/>
          <w:sz w:val="32"/>
          <w:szCs w:val="32"/>
        </w:rPr>
        <w:t>2021</w:t>
      </w:r>
      <w:r>
        <w:rPr>
          <w:rFonts w:ascii="仿宋_GB2312" w:eastAsia="仿宋_GB2312" w:hAnsi="仿宋" w:cs="仿宋" w:hint="eastAsia"/>
          <w:sz w:val="32"/>
          <w:szCs w:val="32"/>
        </w:rPr>
        <w:t>年，学院战略性地完成“党的建设”二级学科硕士点的申报设置工作，成为全省首家设置“党的建设”二级学科硕士点单位；在农林经济管理</w:t>
      </w:r>
      <w:r>
        <w:rPr>
          <w:rFonts w:ascii="仿宋_GB2312" w:eastAsia="仿宋_GB2312" w:hAnsi="仿宋" w:cs="仿宋" w:hint="eastAsia"/>
          <w:sz w:val="32"/>
          <w:szCs w:val="32"/>
        </w:rPr>
        <w:t>一级学科博士点下增设了“中国共产党‘三农’工作的理论与实践”二级学科博士点”；</w:t>
      </w:r>
      <w:r>
        <w:rPr>
          <w:rFonts w:ascii="仿宋_GB2312" w:eastAsia="仿宋_GB2312" w:hAnsi="仿宋" w:cs="仿宋" w:hint="eastAsia"/>
          <w:sz w:val="32"/>
          <w:szCs w:val="32"/>
        </w:rPr>
        <w:lastRenderedPageBreak/>
        <w:t>学院新增“福建农林大学中国共产党党史党建研究院”，并开展首轮三年的建设，受到省委领导的肯定。</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本学科是福建省重点建设学科、省高原学科，围绕新时代“三农”问题、青年思想政治教育、马克思主义生态文明理论及中国实践、马克思主义意识形态理论与实践等方向形成鲜明的学科特色。在</w:t>
      </w:r>
      <w:r>
        <w:rPr>
          <w:rFonts w:ascii="仿宋_GB2312" w:eastAsia="仿宋_GB2312" w:hAnsi="仿宋" w:cs="仿宋" w:hint="eastAsia"/>
          <w:sz w:val="32"/>
          <w:szCs w:val="32"/>
        </w:rPr>
        <w:t>2021</w:t>
      </w:r>
      <w:r>
        <w:rPr>
          <w:rFonts w:ascii="仿宋_GB2312" w:eastAsia="仿宋_GB2312" w:hAnsi="仿宋" w:cs="仿宋" w:hint="eastAsia"/>
          <w:sz w:val="32"/>
          <w:szCs w:val="32"/>
        </w:rPr>
        <w:t>年软科中国最好学科排名中，学院马克思主义理论一级学科排名位列</w:t>
      </w:r>
      <w:r>
        <w:rPr>
          <w:rFonts w:ascii="仿宋_GB2312" w:eastAsia="仿宋_GB2312" w:hAnsi="仿宋" w:cs="仿宋" w:hint="eastAsia"/>
          <w:sz w:val="32"/>
          <w:szCs w:val="32"/>
        </w:rPr>
        <w:t>26%</w:t>
      </w:r>
      <w:r>
        <w:rPr>
          <w:rFonts w:ascii="仿宋_GB2312" w:eastAsia="仿宋_GB2312" w:hAnsi="仿宋" w:cs="仿宋" w:hint="eastAsia"/>
          <w:sz w:val="32"/>
          <w:szCs w:val="32"/>
        </w:rPr>
        <w:t>，在福建省高校中排名第</w:t>
      </w:r>
      <w:r>
        <w:rPr>
          <w:rFonts w:ascii="仿宋_GB2312" w:eastAsia="仿宋_GB2312" w:hAnsi="仿宋" w:cs="仿宋" w:hint="eastAsia"/>
          <w:sz w:val="32"/>
          <w:szCs w:val="32"/>
        </w:rPr>
        <w:t>3</w:t>
      </w:r>
      <w:r>
        <w:rPr>
          <w:rFonts w:ascii="仿宋_GB2312" w:eastAsia="仿宋_GB2312" w:hAnsi="仿宋" w:cs="仿宋" w:hint="eastAsia"/>
          <w:sz w:val="32"/>
          <w:szCs w:val="32"/>
        </w:rPr>
        <w:t>，在全国农林高校中排名第</w:t>
      </w:r>
      <w:r>
        <w:rPr>
          <w:rFonts w:ascii="仿宋_GB2312" w:eastAsia="仿宋_GB2312" w:hAnsi="仿宋" w:cs="仿宋" w:hint="eastAsia"/>
          <w:sz w:val="32"/>
          <w:szCs w:val="32"/>
        </w:rPr>
        <w:t>2</w:t>
      </w:r>
      <w:r>
        <w:rPr>
          <w:rFonts w:ascii="仿宋_GB2312" w:eastAsia="仿宋_GB2312" w:hAnsi="仿宋" w:cs="仿宋" w:hint="eastAsia"/>
          <w:sz w:val="32"/>
          <w:szCs w:val="32"/>
        </w:rPr>
        <w:t>，具有较强的学科实力。</w:t>
      </w:r>
    </w:p>
    <w:p w:rsidR="000C137F" w:rsidRDefault="00BB2B6A">
      <w:pPr>
        <w:spacing w:line="600" w:lineRule="exact"/>
        <w:ind w:firstLineChars="200" w:firstLine="640"/>
        <w:rPr>
          <w:rFonts w:ascii="Times New Roman" w:eastAsia="楷体_GB2312" w:hAnsi="Times New Roman"/>
          <w:bCs/>
          <w:color w:val="000000"/>
          <w:kern w:val="0"/>
          <w:sz w:val="32"/>
          <w:szCs w:val="32"/>
        </w:rPr>
      </w:pP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lang w:eastAsia="zh-Hans"/>
        </w:rPr>
        <w:t>一</w:t>
      </w: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rPr>
        <w:t>目标与标准</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学科年度建设目标</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加强马克思主义理论省级重点学科建设，围绕各二级学科主要发展方向，进一步整合二级学科研究力量，组建特色的研究团队，产出一批具有学校特色、地域特色、对社会发展有一定影响的科研成果，推进马克思主义理论一级学科发展，并达到申报马克思主义理论一级学科博士点的水平。</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位点培养研究生的目标定位是：对马克思主义理论产生的历史必然性、价值目标、基本特征等有深刻理解；对马克思主义发展的历史过程、历史经验、发展规律及当代国外马克思主义的理论、思潮及流派有清晰的了解；对中国近现代历史有充分的认识；研究马克思主</w:t>
      </w:r>
      <w:r>
        <w:rPr>
          <w:rFonts w:ascii="仿宋_GB2312" w:eastAsia="仿宋_GB2312" w:hAnsi="仿宋" w:cs="仿宋" w:hint="eastAsia"/>
          <w:sz w:val="32"/>
          <w:szCs w:val="32"/>
        </w:rPr>
        <w:t>义理论的前沿问题及马克思主义中国化、时代化、大众化的基本问题；掌握思想政治教育的基本理论与科学方法；具有良好的马克思主义理论</w:t>
      </w:r>
      <w:r>
        <w:rPr>
          <w:rFonts w:ascii="仿宋_GB2312" w:eastAsia="仿宋_GB2312" w:hAnsi="仿宋" w:cs="仿宋" w:hint="eastAsia"/>
          <w:sz w:val="32"/>
          <w:szCs w:val="32"/>
        </w:rPr>
        <w:lastRenderedPageBreak/>
        <w:t>素养和专业基础知识，具备能够较好运用马克思主义立场、观点和方法独立分析和解决现实问题的能力，成为能够胜任本学科相关的理论研究、教育教学、宣传和实际工作的专门人才。</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．学位授予标准</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）基本知识</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了解马克思主义理论产生的历史必然性，马克思主义理论体系的基本结构，马克思主义的价值目标，马克思主义的基本特征；了解马克思主义发展的历史过程、历史经验和发展规律；了解当代国外马克思主义的理论、</w:t>
      </w:r>
      <w:r>
        <w:rPr>
          <w:rFonts w:ascii="仿宋_GB2312" w:eastAsia="仿宋_GB2312" w:hAnsi="仿宋" w:cs="仿宋" w:hint="eastAsia"/>
          <w:sz w:val="32"/>
          <w:szCs w:val="32"/>
        </w:rPr>
        <w:t>思潮及流派；了解中国近现代历史和人民选择马克思主义、中国共产党，社会主义道路和改革开放的历史进程和基本经验；了解马克思主义理论的前沿问题及马克思主义中国化、时代化、大众化的基本问题；了解思想政治教育的基本理论与科学方法。能够较好的运用马克思主义立场、观点和方法，分析和总结马克思主义理论发展和指导实践过程中的经验教训，并研究和分析现实社会问题。</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）基本素质</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其一，学术素养。认真阅读马列主义经典著作和中国化马克思主义重要文献，有比较深厚的马克思主义的理论功底和相关专业基础知识。了解学科研究的最新学术动态和最</w:t>
      </w:r>
      <w:r>
        <w:rPr>
          <w:rFonts w:ascii="仿宋_GB2312" w:eastAsia="仿宋_GB2312" w:hAnsi="仿宋" w:cs="仿宋" w:hint="eastAsia"/>
          <w:sz w:val="32"/>
          <w:szCs w:val="32"/>
        </w:rPr>
        <w:t>新研究成果，善于在学术讨论中得到启发和提高。具有较好的学术洞察力、学术潜力和创新意识以及良好的人文综合素养；</w:t>
      </w:r>
      <w:r>
        <w:rPr>
          <w:rFonts w:ascii="仿宋_GB2312" w:eastAsia="仿宋_GB2312" w:hAnsi="仿宋" w:cs="仿宋" w:hint="eastAsia"/>
          <w:sz w:val="32"/>
          <w:szCs w:val="32"/>
        </w:rPr>
        <w:lastRenderedPageBreak/>
        <w:t>具有求实创新、理性质疑的精神。</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二，学术道德。硕士生应恪守学术道德规范等国家有关法律、法规，自觉维护学术诚信，规范学术行为，充分尊重他人的劳动和研究成果，严禁抄袭、剽窃、侵吞、篡改他人学术成果，严禁伪造或篡改数据、文献、注释，坚决抵制一切学术不端问题的发生。如果存在学术不端行为，根据国家和福建农林大学学术不端行为查处的相关规定进行相应惩处。</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）基本能力</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其一，获取知识的能力。了解本学科学术研究的</w:t>
      </w:r>
      <w:r>
        <w:rPr>
          <w:rFonts w:ascii="仿宋_GB2312" w:eastAsia="仿宋_GB2312" w:hAnsi="仿宋" w:cs="仿宋" w:hint="eastAsia"/>
          <w:sz w:val="32"/>
          <w:szCs w:val="32"/>
        </w:rPr>
        <w:t>前沿动态和最新成果，积极开展调查研究，掌握真实而丰富的第一手研究资料；查阅本学科内有影响力的高质量学术期刊和网络资源等手段，获得本学科文献资料，有效获取专业知识和研究方法；养成学术思考的兴趣，掌握学术研究的科学方法。</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二，学术研究能力。针对实际问题，具有较好的揭示理论与实践之间、相关理论与本学科理论之间的联系，以及理论体系内部之间存在的矛盾，并善于讲这些联系和矛盾转化为有价值的研究问题的能力。在导师的指导下，积极参与学术研究训练，注意提高自己科学研究和论文写作的能力。</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其三，实践能力。贯彻理论联系实际的原</w:t>
      </w:r>
      <w:r>
        <w:rPr>
          <w:rFonts w:ascii="仿宋_GB2312" w:eastAsia="仿宋_GB2312" w:hAnsi="仿宋" w:cs="仿宋" w:hint="eastAsia"/>
          <w:sz w:val="32"/>
          <w:szCs w:val="32"/>
        </w:rPr>
        <w:t>则，注重提高分析问题和解决问题的能力，不仅要学好理论，还要运用好理论；具有较强的组织协调和与他人合作的能力。</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其四，学术交流能力。具有良好的口头、书面和演示性</w:t>
      </w:r>
      <w:r>
        <w:rPr>
          <w:rFonts w:ascii="仿宋_GB2312" w:eastAsia="仿宋_GB2312" w:hAnsi="仿宋" w:cs="仿宋" w:hint="eastAsia"/>
          <w:sz w:val="32"/>
          <w:szCs w:val="32"/>
        </w:rPr>
        <w:lastRenderedPageBreak/>
        <w:t>交流的技能，在撰写学术报告与学术交流中能清楚地表达自己的学术观点，积极展示自己的学术成果，能对自己的研究计划、研究方法、研究结果进行陈述和答辩，并对他人的研究工作进行评价和借鉴，并在学术交流中提高学术能力。</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其五，具备良好的口头表达能力、组织协调能力等。掌握一门外国语，能比较熟练地阅读本学科的外文资料。</w:t>
      </w:r>
    </w:p>
    <w:p w:rsidR="000C137F" w:rsidRDefault="00BB2B6A">
      <w:pPr>
        <w:spacing w:line="600" w:lineRule="exact"/>
        <w:ind w:firstLineChars="200" w:firstLine="640"/>
        <w:rPr>
          <w:rFonts w:ascii="Times New Roman" w:eastAsia="楷体_GB2312" w:hAnsi="Times New Roman"/>
          <w:bCs/>
          <w:color w:val="000000"/>
          <w:kern w:val="0"/>
          <w:sz w:val="32"/>
          <w:szCs w:val="32"/>
        </w:rPr>
      </w:pP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lang w:eastAsia="zh-Hans"/>
        </w:rPr>
        <w:t>二</w:t>
      </w: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rPr>
        <w:t>基本条件</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培养方向</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本学位点共设置四个二级研究方向，即：</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）马克思主义基本原理。聚焦马克思主义理论和重大实践问题，在网络文化软实力、意识形态话语权、马克思主义无神论等方面形成一系列有鲜明理论价值和现实价值的研究成果。</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）马克思主义中国化研究。围绕农村的文化、土地、社区、生态、基层党建、精准扶贫、社会治理等“三农”问题进行前瞻探讨，在中国特色农村问题、福建乡村经济社会发展等方面研究形成了特色。</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）思想政治教育。以研究党的思想政治教育史、思想政治教育原理与方法为基础，突出研究青年社会主义核心价值观及伦理道德认同，加强思想政治教育的路径、载体和方法。</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）中国近现代史基本问题研究。注重历史与现实的结合：一方面致力于新民主主义革命时期党的先进性建设、</w:t>
      </w:r>
      <w:r>
        <w:rPr>
          <w:rFonts w:ascii="仿宋_GB2312" w:eastAsia="仿宋_GB2312" w:hint="eastAsia"/>
          <w:sz w:val="32"/>
          <w:szCs w:val="32"/>
        </w:rPr>
        <w:lastRenderedPageBreak/>
        <w:t>民生建设等研究的实践梳理与经验总结，另一方面坚持问题导向和实践导向，加强地域特色研究，围绕海峡两岸历史与文化交流、福建红色历史与文化等方面研究。</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师资队伍</w:t>
      </w:r>
      <w:r>
        <w:rPr>
          <w:rFonts w:ascii="仿宋_GB2312" w:eastAsia="仿宋_GB2312" w:hint="eastAsia"/>
          <w:bCs/>
          <w:sz w:val="32"/>
          <w:szCs w:val="32"/>
        </w:rPr>
        <w:t xml:space="preserve"> </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本学位点现有师资</w:t>
      </w:r>
      <w:r>
        <w:rPr>
          <w:rFonts w:ascii="仿宋_GB2312" w:eastAsia="仿宋_GB2312" w:hint="eastAsia"/>
          <w:sz w:val="32"/>
          <w:szCs w:val="32"/>
        </w:rPr>
        <w:t>41</w:t>
      </w:r>
      <w:r>
        <w:rPr>
          <w:rFonts w:ascii="仿宋_GB2312" w:eastAsia="仿宋_GB2312" w:hint="eastAsia"/>
          <w:sz w:val="32"/>
          <w:szCs w:val="32"/>
        </w:rPr>
        <w:t>人，其中硕士生导师</w:t>
      </w:r>
      <w:r>
        <w:rPr>
          <w:rFonts w:ascii="仿宋_GB2312" w:eastAsia="仿宋_GB2312" w:hint="eastAsia"/>
          <w:sz w:val="32"/>
          <w:szCs w:val="32"/>
        </w:rPr>
        <w:t>24</w:t>
      </w:r>
      <w:r>
        <w:rPr>
          <w:rFonts w:ascii="仿宋_GB2312" w:eastAsia="仿宋_GB2312" w:hint="eastAsia"/>
          <w:sz w:val="32"/>
          <w:szCs w:val="32"/>
        </w:rPr>
        <w:t>名，教授</w:t>
      </w:r>
      <w:r>
        <w:rPr>
          <w:rFonts w:ascii="仿宋_GB2312" w:eastAsia="仿宋_GB2312" w:hint="eastAsia"/>
          <w:sz w:val="32"/>
          <w:szCs w:val="32"/>
        </w:rPr>
        <w:t>12</w:t>
      </w:r>
      <w:r>
        <w:rPr>
          <w:rFonts w:ascii="仿宋_GB2312" w:eastAsia="仿宋_GB2312" w:hint="eastAsia"/>
          <w:sz w:val="32"/>
          <w:szCs w:val="32"/>
        </w:rPr>
        <w:t>人。学位点拥有全国思政课教学指导分委</w:t>
      </w:r>
      <w:r>
        <w:rPr>
          <w:rFonts w:ascii="仿宋_GB2312" w:eastAsia="仿宋_GB2312" w:hint="eastAsia"/>
          <w:sz w:val="32"/>
          <w:szCs w:val="32"/>
        </w:rPr>
        <w:t>会委员</w:t>
      </w:r>
      <w:r>
        <w:rPr>
          <w:rFonts w:ascii="仿宋_GB2312" w:eastAsia="仿宋_GB2312" w:hint="eastAsia"/>
          <w:sz w:val="32"/>
          <w:szCs w:val="32"/>
        </w:rPr>
        <w:t>1</w:t>
      </w:r>
      <w:r>
        <w:rPr>
          <w:rFonts w:ascii="仿宋_GB2312" w:eastAsia="仿宋_GB2312" w:hint="eastAsia"/>
          <w:sz w:val="32"/>
          <w:szCs w:val="32"/>
        </w:rPr>
        <w:t>人，全国优秀中青年思想政治理论课教师择优资助计划</w:t>
      </w:r>
      <w:r>
        <w:rPr>
          <w:rFonts w:ascii="仿宋_GB2312" w:eastAsia="仿宋_GB2312" w:hint="eastAsia"/>
          <w:sz w:val="32"/>
          <w:szCs w:val="32"/>
        </w:rPr>
        <w:t>3</w:t>
      </w:r>
      <w:r>
        <w:rPr>
          <w:rFonts w:ascii="仿宋_GB2312" w:eastAsia="仿宋_GB2312" w:hint="eastAsia"/>
          <w:sz w:val="32"/>
          <w:szCs w:val="32"/>
        </w:rPr>
        <w:t>人，全国高校思想政治理论课教师年度影响力及提名人物</w:t>
      </w:r>
      <w:r>
        <w:rPr>
          <w:rFonts w:ascii="仿宋_GB2312" w:eastAsia="仿宋_GB2312" w:hint="eastAsia"/>
          <w:sz w:val="32"/>
          <w:szCs w:val="32"/>
        </w:rPr>
        <w:t>3</w:t>
      </w:r>
      <w:r>
        <w:rPr>
          <w:rFonts w:ascii="仿宋_GB2312" w:eastAsia="仿宋_GB2312" w:hint="eastAsia"/>
          <w:sz w:val="32"/>
          <w:szCs w:val="32"/>
        </w:rPr>
        <w:t>人，全国高校思想政治理论课教学骨干</w:t>
      </w:r>
      <w:r>
        <w:rPr>
          <w:rFonts w:ascii="仿宋_GB2312" w:eastAsia="仿宋_GB2312" w:hint="eastAsia"/>
          <w:sz w:val="32"/>
          <w:szCs w:val="32"/>
        </w:rPr>
        <w:t>1</w:t>
      </w:r>
      <w:r>
        <w:rPr>
          <w:rFonts w:ascii="仿宋_GB2312" w:eastAsia="仿宋_GB2312" w:hint="eastAsia"/>
          <w:sz w:val="32"/>
          <w:szCs w:val="32"/>
        </w:rPr>
        <w:t>人，全国优秀教师</w:t>
      </w:r>
      <w:r>
        <w:rPr>
          <w:rFonts w:ascii="仿宋_GB2312" w:eastAsia="仿宋_GB2312" w:hint="eastAsia"/>
          <w:sz w:val="32"/>
          <w:szCs w:val="32"/>
        </w:rPr>
        <w:t>1</w:t>
      </w:r>
      <w:r>
        <w:rPr>
          <w:rFonts w:ascii="仿宋_GB2312" w:eastAsia="仿宋_GB2312" w:hint="eastAsia"/>
          <w:sz w:val="32"/>
          <w:szCs w:val="32"/>
        </w:rPr>
        <w:t>人，霍英东全国青年教师</w:t>
      </w:r>
      <w:r>
        <w:rPr>
          <w:rFonts w:ascii="仿宋_GB2312" w:eastAsia="仿宋_GB2312" w:hint="eastAsia"/>
          <w:sz w:val="32"/>
          <w:szCs w:val="32"/>
        </w:rPr>
        <w:t>1</w:t>
      </w:r>
      <w:r>
        <w:rPr>
          <w:rFonts w:ascii="仿宋_GB2312" w:eastAsia="仿宋_GB2312" w:hint="eastAsia"/>
          <w:sz w:val="32"/>
          <w:szCs w:val="32"/>
        </w:rPr>
        <w:t>人，“福建省五一巾帼标兵”和“金牌工人”荣誉称号</w:t>
      </w:r>
      <w:r>
        <w:rPr>
          <w:rFonts w:ascii="仿宋_GB2312" w:eastAsia="仿宋_GB2312" w:hint="eastAsia"/>
          <w:sz w:val="32"/>
          <w:szCs w:val="32"/>
        </w:rPr>
        <w:t>1</w:t>
      </w:r>
      <w:r>
        <w:rPr>
          <w:rFonts w:ascii="仿宋_GB2312" w:eastAsia="仿宋_GB2312" w:hint="eastAsia"/>
          <w:sz w:val="32"/>
          <w:szCs w:val="32"/>
        </w:rPr>
        <w:t>人，以及其他省级人才</w:t>
      </w:r>
      <w:r>
        <w:rPr>
          <w:rFonts w:ascii="仿宋_GB2312" w:eastAsia="仿宋_GB2312" w:hint="eastAsia"/>
          <w:sz w:val="32"/>
          <w:szCs w:val="32"/>
        </w:rPr>
        <w:t>5</w:t>
      </w:r>
      <w:r>
        <w:rPr>
          <w:rFonts w:ascii="仿宋_GB2312" w:eastAsia="仿宋_GB2312" w:hint="eastAsia"/>
          <w:sz w:val="32"/>
          <w:szCs w:val="32"/>
        </w:rPr>
        <w:t>人。现有省委理论宣讲团专家成员</w:t>
      </w:r>
      <w:r>
        <w:rPr>
          <w:rFonts w:ascii="仿宋_GB2312" w:eastAsia="仿宋_GB2312" w:hint="eastAsia"/>
          <w:sz w:val="32"/>
          <w:szCs w:val="32"/>
        </w:rPr>
        <w:t>2</w:t>
      </w:r>
      <w:r>
        <w:rPr>
          <w:rFonts w:ascii="仿宋_GB2312" w:eastAsia="仿宋_GB2312" w:hint="eastAsia"/>
          <w:sz w:val="32"/>
          <w:szCs w:val="32"/>
        </w:rPr>
        <w:t>人，校党委理论宣讲团成员</w:t>
      </w:r>
      <w:r>
        <w:rPr>
          <w:rFonts w:ascii="仿宋_GB2312" w:eastAsia="仿宋_GB2312" w:hint="eastAsia"/>
          <w:sz w:val="32"/>
          <w:szCs w:val="32"/>
        </w:rPr>
        <w:t>8</w:t>
      </w:r>
      <w:r>
        <w:rPr>
          <w:rFonts w:ascii="仿宋_GB2312" w:eastAsia="仿宋_GB2312" w:hint="eastAsia"/>
          <w:sz w:val="32"/>
          <w:szCs w:val="32"/>
        </w:rPr>
        <w:t>人。</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科学研究</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学科在本年度获国家社科基金项目</w:t>
      </w:r>
      <w:r>
        <w:rPr>
          <w:rFonts w:ascii="仿宋_GB2312" w:eastAsia="仿宋_GB2312" w:hint="eastAsia"/>
          <w:sz w:val="32"/>
          <w:szCs w:val="32"/>
        </w:rPr>
        <w:t>2</w:t>
      </w:r>
      <w:r>
        <w:rPr>
          <w:rFonts w:ascii="仿宋_GB2312" w:eastAsia="仿宋_GB2312" w:hint="eastAsia"/>
          <w:sz w:val="32"/>
          <w:szCs w:val="32"/>
        </w:rPr>
        <w:t>项，省级项目</w:t>
      </w:r>
      <w:r>
        <w:rPr>
          <w:rFonts w:ascii="仿宋_GB2312" w:eastAsia="仿宋_GB2312" w:hint="eastAsia"/>
          <w:sz w:val="32"/>
          <w:szCs w:val="32"/>
        </w:rPr>
        <w:t>15</w:t>
      </w:r>
      <w:r>
        <w:rPr>
          <w:rFonts w:ascii="仿宋_GB2312" w:eastAsia="仿宋_GB2312" w:hint="eastAsia"/>
          <w:sz w:val="32"/>
          <w:szCs w:val="32"/>
        </w:rPr>
        <w:t>项，纵向科研经费</w:t>
      </w:r>
      <w:r>
        <w:rPr>
          <w:rFonts w:ascii="仿宋_GB2312" w:eastAsia="仿宋_GB2312" w:hint="eastAsia"/>
          <w:sz w:val="32"/>
          <w:szCs w:val="32"/>
        </w:rPr>
        <w:t>21</w:t>
      </w:r>
      <w:r>
        <w:rPr>
          <w:rFonts w:ascii="仿宋_GB2312" w:eastAsia="仿宋_GB2312"/>
          <w:sz w:val="32"/>
          <w:szCs w:val="32"/>
        </w:rPr>
        <w:t>6.5</w:t>
      </w:r>
      <w:r>
        <w:rPr>
          <w:rFonts w:ascii="仿宋_GB2312" w:eastAsia="仿宋_GB2312" w:hint="eastAsia"/>
          <w:sz w:val="32"/>
          <w:szCs w:val="32"/>
        </w:rPr>
        <w:t>万元。专著</w:t>
      </w:r>
      <w:r>
        <w:rPr>
          <w:rFonts w:ascii="仿宋_GB2312" w:eastAsia="仿宋_GB2312" w:hint="eastAsia"/>
          <w:sz w:val="32"/>
          <w:szCs w:val="32"/>
        </w:rPr>
        <w:t>3</w:t>
      </w:r>
      <w:r>
        <w:rPr>
          <w:rFonts w:ascii="仿宋_GB2312" w:eastAsia="仿宋_GB2312" w:hint="eastAsia"/>
          <w:sz w:val="32"/>
          <w:szCs w:val="32"/>
        </w:rPr>
        <w:t>部，在《光明日报》、《社会主义研究》、《党史研究与教学》、《福建论坛》《科学社会主义》等</w:t>
      </w:r>
      <w:r>
        <w:rPr>
          <w:rFonts w:ascii="仿宋_GB2312" w:eastAsia="仿宋_GB2312" w:hint="eastAsia"/>
          <w:sz w:val="32"/>
          <w:szCs w:val="32"/>
        </w:rPr>
        <w:t>发表学术论文</w:t>
      </w:r>
      <w:r>
        <w:rPr>
          <w:rFonts w:ascii="仿宋_GB2312" w:eastAsia="仿宋_GB2312" w:hint="eastAsia"/>
          <w:sz w:val="32"/>
          <w:szCs w:val="32"/>
        </w:rPr>
        <w:t>75</w:t>
      </w:r>
      <w:r>
        <w:rPr>
          <w:rFonts w:ascii="仿宋_GB2312" w:eastAsia="仿宋_GB2312" w:hint="eastAsia"/>
          <w:sz w:val="32"/>
          <w:szCs w:val="32"/>
        </w:rPr>
        <w:t>篇。</w:t>
      </w:r>
      <w:r>
        <w:rPr>
          <w:rFonts w:ascii="仿宋_GB2312" w:eastAsia="仿宋_GB2312" w:hint="eastAsia"/>
          <w:sz w:val="32"/>
          <w:szCs w:val="32"/>
        </w:rPr>
        <w:t>2021</w:t>
      </w:r>
      <w:r>
        <w:rPr>
          <w:rFonts w:ascii="仿宋_GB2312" w:eastAsia="仿宋_GB2312" w:hint="eastAsia"/>
          <w:sz w:val="32"/>
          <w:szCs w:val="32"/>
        </w:rPr>
        <w:t>年在软科中国最好学科排名（马克思主义理论学科）得分</w:t>
      </w:r>
      <w:r>
        <w:rPr>
          <w:rFonts w:ascii="仿宋_GB2312" w:eastAsia="仿宋_GB2312" w:hint="eastAsia"/>
          <w:sz w:val="32"/>
          <w:szCs w:val="32"/>
        </w:rPr>
        <w:t>92</w:t>
      </w:r>
      <w:r>
        <w:rPr>
          <w:rFonts w:ascii="仿宋_GB2312" w:eastAsia="仿宋_GB2312" w:hint="eastAsia"/>
          <w:sz w:val="32"/>
          <w:szCs w:val="32"/>
        </w:rPr>
        <w:t>，排名前</w:t>
      </w:r>
      <w:r>
        <w:rPr>
          <w:rFonts w:ascii="仿宋_GB2312" w:eastAsia="仿宋_GB2312" w:hint="eastAsia"/>
          <w:sz w:val="32"/>
          <w:szCs w:val="32"/>
        </w:rPr>
        <w:t>30%</w:t>
      </w:r>
      <w:r>
        <w:rPr>
          <w:rFonts w:ascii="仿宋_GB2312" w:eastAsia="仿宋_GB2312" w:hint="eastAsia"/>
          <w:sz w:val="32"/>
          <w:szCs w:val="32"/>
        </w:rPr>
        <w:t>，位居约</w:t>
      </w:r>
      <w:r>
        <w:rPr>
          <w:rFonts w:ascii="仿宋_GB2312" w:eastAsia="仿宋_GB2312" w:hint="eastAsia"/>
          <w:sz w:val="32"/>
          <w:szCs w:val="32"/>
        </w:rPr>
        <w:t>25%</w:t>
      </w:r>
      <w:r>
        <w:rPr>
          <w:rFonts w:ascii="仿宋_GB2312" w:eastAsia="仿宋_GB2312" w:hint="eastAsia"/>
          <w:sz w:val="32"/>
          <w:szCs w:val="32"/>
        </w:rPr>
        <w:t>。</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教学科研支撑</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本学科拥有教育部级及省级研究基地、省级教学平台共</w:t>
      </w:r>
      <w:r>
        <w:rPr>
          <w:rFonts w:ascii="仿宋_GB2312" w:eastAsia="仿宋_GB2312" w:hint="eastAsia"/>
          <w:sz w:val="32"/>
          <w:szCs w:val="32"/>
        </w:rPr>
        <w:t>10</w:t>
      </w:r>
      <w:r>
        <w:rPr>
          <w:rFonts w:ascii="仿宋_GB2312" w:eastAsia="仿宋_GB2312" w:hint="eastAsia"/>
          <w:sz w:val="32"/>
          <w:szCs w:val="32"/>
        </w:rPr>
        <w:t>个，分别是：</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）全国高校思政课骨干教师社会实践研修基地（部</w:t>
      </w:r>
      <w:r>
        <w:rPr>
          <w:rFonts w:ascii="仿宋_GB2312" w:eastAsia="仿宋_GB2312" w:hint="eastAsia"/>
          <w:sz w:val="32"/>
          <w:szCs w:val="32"/>
        </w:rPr>
        <w:lastRenderedPageBreak/>
        <w:t>委级）；</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）共青团中国特色社会主义理论体系研究中心（部委级）；</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）福建省社科研究基地马克思主义中国化研究中心（省级）；</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）福建省马克思主义理论（思想政治教育）研究生教育创新基地（省级）；</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）福建农林大学中国特色社会主义理论体系研究中心（省级）；</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）福建省高校思想政治理论课刘新玲教学名师工作室；</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）福建省高校思想政治理论课李宝艳教学名师工作室；</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）福建省高校网络文化示范工作室；</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）福建省高校马克思主义理论重点读书社“中共党史读书社”；</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）福建省高校马克思主义理论重点读书社“习近平新时代中国特色社会主义思想读书社”。这些教学研究的基地平台为师生交流研讨、实践研修等提供了依托。</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奖助体系</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）建立起涵盖“三助”岗位、专项</w:t>
      </w:r>
      <w:bookmarkStart w:id="1" w:name="_GoBack"/>
      <w:r>
        <w:rPr>
          <w:rFonts w:ascii="仿宋_GB2312" w:eastAsia="仿宋_GB2312" w:hint="eastAsia"/>
          <w:sz w:val="32"/>
          <w:szCs w:val="32"/>
        </w:rPr>
        <w:t>奖学金</w:t>
      </w:r>
      <w:bookmarkEnd w:id="1"/>
      <w:r>
        <w:rPr>
          <w:rFonts w:ascii="仿宋_GB2312" w:eastAsia="仿宋_GB2312" w:hint="eastAsia"/>
          <w:sz w:val="32"/>
          <w:szCs w:val="32"/>
        </w:rPr>
        <w:t>(</w:t>
      </w:r>
      <w:r>
        <w:rPr>
          <w:rFonts w:ascii="仿宋_GB2312" w:eastAsia="仿宋_GB2312" w:hint="eastAsia"/>
          <w:sz w:val="32"/>
          <w:szCs w:val="32"/>
        </w:rPr>
        <w:t>研究生国家奖学金、严家显最高奖学金等</w:t>
      </w:r>
      <w:r>
        <w:rPr>
          <w:rFonts w:ascii="仿宋_GB2312" w:eastAsia="仿宋_GB2312" w:hint="eastAsia"/>
          <w:sz w:val="32"/>
          <w:szCs w:val="32"/>
        </w:rPr>
        <w:t>)</w:t>
      </w:r>
      <w:r>
        <w:rPr>
          <w:rFonts w:ascii="仿宋_GB2312" w:eastAsia="仿宋_GB2312" w:hint="eastAsia"/>
          <w:sz w:val="32"/>
          <w:szCs w:val="32"/>
        </w:rPr>
        <w:t>、研究生学业奖学金、国家助学货款、社会资助项目、临时困难补助及普惠化助学金</w:t>
      </w:r>
      <w:r>
        <w:rPr>
          <w:rFonts w:ascii="仿宋_GB2312" w:eastAsia="仿宋_GB2312" w:hint="eastAsia"/>
          <w:sz w:val="32"/>
          <w:szCs w:val="32"/>
        </w:rPr>
        <w:lastRenderedPageBreak/>
        <w:t>等在内的全方位、立体式、多层面的奖助体系。</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）以资助育人和科研导向为指引，全面协调全校研究生奖助工作，形成了校院两级研究生奖助管理体制</w:t>
      </w:r>
      <w:r>
        <w:rPr>
          <w:rFonts w:ascii="仿宋_GB2312" w:eastAsia="仿宋_GB2312" w:hint="eastAsia"/>
          <w:sz w:val="32"/>
          <w:szCs w:val="32"/>
        </w:rPr>
        <w:t>。</w:t>
      </w:r>
    </w:p>
    <w:p w:rsidR="000C137F" w:rsidRDefault="00BB2B6A">
      <w:pPr>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）坚持经济资助与精神激励相结合，定期宣传展示研究生国家奖学金和严家显奖学金获得者的先进事迹，积极倡导爱国奉献、自立自强精神。</w:t>
      </w:r>
    </w:p>
    <w:p w:rsidR="000C137F" w:rsidRDefault="00BB2B6A">
      <w:pPr>
        <w:adjustRightInd w:val="0"/>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6.</w:t>
      </w:r>
      <w:r>
        <w:rPr>
          <w:rFonts w:ascii="仿宋_GB2312" w:eastAsia="仿宋_GB2312" w:hint="eastAsia"/>
          <w:bCs/>
          <w:sz w:val="32"/>
          <w:szCs w:val="32"/>
        </w:rPr>
        <w:t>管理服务</w:t>
      </w:r>
    </w:p>
    <w:p w:rsidR="000C137F" w:rsidRDefault="00BB2B6A">
      <w:pPr>
        <w:adjustRightInd w:val="0"/>
        <w:spacing w:line="600" w:lineRule="exact"/>
        <w:ind w:firstLineChars="200" w:firstLine="640"/>
        <w:jc w:val="left"/>
        <w:rPr>
          <w:rFonts w:ascii="仿宋_GB2312" w:eastAsia="仿宋_GB2312"/>
          <w:b/>
          <w:bCs/>
          <w:sz w:val="32"/>
          <w:szCs w:val="32"/>
        </w:rPr>
      </w:pPr>
      <w:r>
        <w:rPr>
          <w:rFonts w:ascii="仿宋_GB2312" w:eastAsia="仿宋_GB2312" w:hint="eastAsia"/>
          <w:sz w:val="32"/>
          <w:szCs w:val="32"/>
        </w:rPr>
        <w:t>本学科共有专职管理人员</w:t>
      </w:r>
      <w:r>
        <w:rPr>
          <w:rFonts w:ascii="仿宋_GB2312" w:eastAsia="仿宋_GB2312" w:hint="eastAsia"/>
          <w:sz w:val="32"/>
          <w:szCs w:val="32"/>
        </w:rPr>
        <w:t>10</w:t>
      </w:r>
      <w:r>
        <w:rPr>
          <w:rFonts w:ascii="仿宋_GB2312" w:eastAsia="仿宋_GB2312" w:hint="eastAsia"/>
          <w:sz w:val="32"/>
          <w:szCs w:val="32"/>
        </w:rPr>
        <w:t>名</w:t>
      </w:r>
      <w:r>
        <w:rPr>
          <w:rFonts w:ascii="仿宋_GB2312" w:eastAsia="仿宋_GB2312" w:hint="eastAsia"/>
          <w:sz w:val="32"/>
          <w:szCs w:val="32"/>
        </w:rPr>
        <w:t>，专职辅导员</w:t>
      </w:r>
      <w:r>
        <w:rPr>
          <w:rFonts w:ascii="仿宋_GB2312" w:eastAsia="仿宋_GB2312" w:hint="eastAsia"/>
          <w:sz w:val="32"/>
          <w:szCs w:val="32"/>
        </w:rPr>
        <w:t>1</w:t>
      </w:r>
      <w:r>
        <w:rPr>
          <w:rFonts w:ascii="仿宋_GB2312" w:eastAsia="仿宋_GB2312" w:hint="eastAsia"/>
          <w:sz w:val="32"/>
          <w:szCs w:val="32"/>
        </w:rPr>
        <w:t>名，负责日常办公、教学、科研等服务。学院建立了《福建农林大学马克思主义学院研究生会章程》，规定了会员的权利和义务，及时反映同学意见，维护同学正当利益，协助学院解决同学学习生活中的实际问题，遇到困难时，有权向本会反映并寻求帮助。根据校就业中心《</w:t>
      </w:r>
      <w:r>
        <w:rPr>
          <w:rFonts w:ascii="仿宋_GB2312" w:eastAsia="仿宋_GB2312" w:hint="eastAsia"/>
          <w:sz w:val="32"/>
          <w:szCs w:val="32"/>
        </w:rPr>
        <w:t>2020</w:t>
      </w:r>
      <w:r>
        <w:rPr>
          <w:rFonts w:ascii="仿宋_GB2312" w:eastAsia="仿宋_GB2312" w:hint="eastAsia"/>
          <w:sz w:val="32"/>
          <w:szCs w:val="32"/>
        </w:rPr>
        <w:t>届毕业生就业质量报告》显示，毕业总数</w:t>
      </w:r>
      <w:r>
        <w:rPr>
          <w:rFonts w:ascii="仿宋_GB2312" w:eastAsia="仿宋_GB2312" w:hint="eastAsia"/>
          <w:sz w:val="32"/>
          <w:szCs w:val="32"/>
        </w:rPr>
        <w:t>26</w:t>
      </w:r>
      <w:r>
        <w:rPr>
          <w:rFonts w:ascii="仿宋_GB2312" w:eastAsia="仿宋_GB2312" w:hint="eastAsia"/>
          <w:sz w:val="32"/>
          <w:szCs w:val="32"/>
        </w:rPr>
        <w:t>人，学院对学校整体满意度为</w:t>
      </w:r>
      <w:r>
        <w:rPr>
          <w:rFonts w:ascii="仿宋_GB2312" w:eastAsia="仿宋_GB2312" w:hint="eastAsia"/>
          <w:sz w:val="32"/>
          <w:szCs w:val="32"/>
        </w:rPr>
        <w:t>88.70%</w:t>
      </w:r>
      <w:r>
        <w:rPr>
          <w:rFonts w:ascii="仿宋_GB2312" w:eastAsia="仿宋_GB2312" w:hint="eastAsia"/>
          <w:sz w:val="32"/>
          <w:szCs w:val="32"/>
        </w:rPr>
        <w:t>；毕业生对教学工作整体满意度为</w:t>
      </w:r>
      <w:r>
        <w:rPr>
          <w:rFonts w:ascii="仿宋_GB2312" w:eastAsia="仿宋_GB2312" w:hint="eastAsia"/>
          <w:sz w:val="32"/>
          <w:szCs w:val="32"/>
        </w:rPr>
        <w:t>86.96%</w:t>
      </w:r>
      <w:r>
        <w:rPr>
          <w:rFonts w:ascii="仿宋_GB2312" w:eastAsia="仿宋_GB2312" w:hint="eastAsia"/>
          <w:sz w:val="32"/>
          <w:szCs w:val="32"/>
        </w:rPr>
        <w:t>；毕业生对学习环境满意度为</w:t>
      </w:r>
      <w:r>
        <w:rPr>
          <w:rFonts w:ascii="仿宋_GB2312" w:eastAsia="仿宋_GB2312" w:hint="eastAsia"/>
          <w:sz w:val="32"/>
          <w:szCs w:val="32"/>
        </w:rPr>
        <w:t>88.70%</w:t>
      </w:r>
      <w:r>
        <w:rPr>
          <w:rFonts w:ascii="仿宋_GB2312" w:eastAsia="仿宋_GB2312" w:hint="eastAsia"/>
          <w:sz w:val="32"/>
          <w:szCs w:val="32"/>
        </w:rPr>
        <w:t>；对课程设置满意度为</w:t>
      </w:r>
      <w:r>
        <w:rPr>
          <w:rFonts w:ascii="仿宋_GB2312" w:eastAsia="仿宋_GB2312" w:hint="eastAsia"/>
          <w:sz w:val="32"/>
          <w:szCs w:val="32"/>
        </w:rPr>
        <w:t>86.67%</w:t>
      </w:r>
      <w:r>
        <w:rPr>
          <w:rFonts w:ascii="仿宋_GB2312" w:eastAsia="仿宋_GB2312" w:hint="eastAsia"/>
          <w:sz w:val="32"/>
          <w:szCs w:val="32"/>
        </w:rPr>
        <w:t>；对教师坚定政治方向同意度为</w:t>
      </w:r>
      <w:r>
        <w:rPr>
          <w:rFonts w:ascii="仿宋_GB2312" w:eastAsia="仿宋_GB2312" w:hint="eastAsia"/>
          <w:sz w:val="32"/>
          <w:szCs w:val="32"/>
        </w:rPr>
        <w:t>96.52%</w:t>
      </w:r>
      <w:r>
        <w:rPr>
          <w:rFonts w:ascii="仿宋_GB2312" w:eastAsia="仿宋_GB2312" w:hint="eastAsia"/>
          <w:sz w:val="32"/>
          <w:szCs w:val="32"/>
        </w:rPr>
        <w:t>；对教师潜心教书育</w:t>
      </w:r>
      <w:r>
        <w:rPr>
          <w:rFonts w:ascii="仿宋_GB2312" w:eastAsia="仿宋_GB2312" w:hint="eastAsia"/>
          <w:sz w:val="32"/>
          <w:szCs w:val="32"/>
        </w:rPr>
        <w:t>人同意度为</w:t>
      </w:r>
      <w:r>
        <w:rPr>
          <w:rFonts w:ascii="仿宋_GB2312" w:eastAsia="仿宋_GB2312" w:hint="eastAsia"/>
          <w:sz w:val="32"/>
          <w:szCs w:val="32"/>
        </w:rPr>
        <w:t>93.91%</w:t>
      </w:r>
      <w:r>
        <w:rPr>
          <w:rFonts w:ascii="仿宋_GB2312" w:eastAsia="仿宋_GB2312" w:hint="eastAsia"/>
          <w:sz w:val="32"/>
          <w:szCs w:val="32"/>
        </w:rPr>
        <w:t>；对教师关心爱护学生同意度为</w:t>
      </w:r>
      <w:r>
        <w:rPr>
          <w:rFonts w:ascii="仿宋_GB2312" w:eastAsia="仿宋_GB2312" w:hint="eastAsia"/>
          <w:sz w:val="32"/>
          <w:szCs w:val="32"/>
        </w:rPr>
        <w:t>94.78%</w:t>
      </w:r>
      <w:r>
        <w:rPr>
          <w:rFonts w:ascii="仿宋_GB2312" w:eastAsia="仿宋_GB2312" w:hint="eastAsia"/>
          <w:sz w:val="32"/>
          <w:szCs w:val="32"/>
        </w:rPr>
        <w:t>；对教师积极奉献社会同意度为</w:t>
      </w:r>
      <w:r>
        <w:rPr>
          <w:rFonts w:ascii="仿宋_GB2312" w:eastAsia="仿宋_GB2312" w:hint="eastAsia"/>
          <w:sz w:val="32"/>
          <w:szCs w:val="32"/>
        </w:rPr>
        <w:t>94.78%</w:t>
      </w:r>
      <w:r>
        <w:rPr>
          <w:rFonts w:ascii="仿宋_GB2312" w:eastAsia="仿宋_GB2312" w:hint="eastAsia"/>
          <w:sz w:val="32"/>
          <w:szCs w:val="32"/>
        </w:rPr>
        <w:t>；对学校思想政治教育满意度为</w:t>
      </w:r>
      <w:r>
        <w:rPr>
          <w:rFonts w:ascii="仿宋_GB2312" w:eastAsia="仿宋_GB2312" w:hint="eastAsia"/>
          <w:sz w:val="32"/>
          <w:szCs w:val="32"/>
        </w:rPr>
        <w:t>97.39%</w:t>
      </w:r>
      <w:r>
        <w:rPr>
          <w:rFonts w:ascii="仿宋_GB2312" w:eastAsia="仿宋_GB2312" w:hint="eastAsia"/>
          <w:sz w:val="32"/>
          <w:szCs w:val="32"/>
        </w:rPr>
        <w:t>，总体满意较高，呈现良好态势。</w:t>
      </w:r>
    </w:p>
    <w:p w:rsidR="000C137F" w:rsidRDefault="00BB2B6A">
      <w:pPr>
        <w:spacing w:line="600" w:lineRule="exact"/>
        <w:rPr>
          <w:rFonts w:ascii="Times New Roman" w:eastAsia="楷体_GB2312" w:hAnsi="Times New Roman"/>
          <w:bCs/>
          <w:color w:val="0000FF"/>
          <w:kern w:val="0"/>
          <w:sz w:val="32"/>
          <w:szCs w:val="32"/>
        </w:rPr>
      </w:pP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lang w:eastAsia="zh-Hans"/>
        </w:rPr>
        <w:t>三</w:t>
      </w:r>
      <w:r>
        <w:rPr>
          <w:rFonts w:ascii="Times New Roman" w:eastAsia="楷体_GB2312" w:hAnsi="Times New Roman"/>
          <w:bCs/>
          <w:color w:val="000000"/>
          <w:kern w:val="0"/>
          <w:sz w:val="32"/>
          <w:szCs w:val="32"/>
        </w:rPr>
        <w:t>）</w:t>
      </w:r>
      <w:r>
        <w:rPr>
          <w:rFonts w:ascii="Times New Roman" w:eastAsia="楷体_GB2312" w:hAnsi="Times New Roman" w:hint="eastAsia"/>
          <w:bCs/>
          <w:color w:val="000000"/>
          <w:kern w:val="0"/>
          <w:sz w:val="32"/>
          <w:szCs w:val="32"/>
        </w:rPr>
        <w:t>人才培养</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1.</w:t>
      </w:r>
      <w:r>
        <w:rPr>
          <w:rFonts w:ascii="仿宋_GB2312" w:eastAsia="仿宋_GB2312" w:hAnsi="黑体" w:cs="黑体" w:hint="eastAsia"/>
          <w:bCs/>
          <w:sz w:val="32"/>
          <w:szCs w:val="32"/>
        </w:rPr>
        <w:t>思想政治教育</w:t>
      </w:r>
    </w:p>
    <w:p w:rsidR="000C137F" w:rsidRDefault="00BB2B6A">
      <w:pPr>
        <w:spacing w:line="600" w:lineRule="exact"/>
        <w:ind w:firstLineChars="200" w:firstLine="640"/>
      </w:pPr>
      <w:r>
        <w:rPr>
          <w:rFonts w:ascii="仿宋_GB2312" w:eastAsia="仿宋_GB2312" w:hAnsi="黑体" w:cs="黑体" w:hint="eastAsia"/>
          <w:bCs/>
          <w:sz w:val="32"/>
          <w:szCs w:val="32"/>
        </w:rPr>
        <w:t>为强化研究生的思想政治教育，本学位点采取了一系列</w:t>
      </w:r>
      <w:r>
        <w:rPr>
          <w:rFonts w:ascii="仿宋_GB2312" w:eastAsia="仿宋_GB2312" w:hAnsi="黑体" w:cs="黑体" w:hint="eastAsia"/>
          <w:bCs/>
          <w:sz w:val="32"/>
          <w:szCs w:val="32"/>
        </w:rPr>
        <w:lastRenderedPageBreak/>
        <w:t>得力举措，取得了显著成效。一是明确导师在研究生思想政治教育中“第一责任人”的作用。学院要求导师对学生的日常行为规范、学术道德、学术诚信等开展多种形式的指导，并时常关注学生的思想动态、情绪变化，对不良心理情绪及时进行疏解。二是发挥先进典型在党建工作中的“助推器”作用，使党员教育与研究生的实际需求相结合、学术科研相结合、成长成才相结合。</w:t>
      </w:r>
      <w:r>
        <w:rPr>
          <w:rFonts w:ascii="仿宋_GB2312" w:eastAsia="仿宋_GB2312" w:hAnsi="黑体" w:cs="黑体" w:hint="eastAsia"/>
          <w:bCs/>
          <w:sz w:val="32"/>
          <w:szCs w:val="32"/>
        </w:rPr>
        <w:t>2020</w:t>
      </w:r>
      <w:r>
        <w:rPr>
          <w:rFonts w:ascii="仿宋_GB2312" w:eastAsia="仿宋_GB2312" w:hAnsi="黑体" w:cs="黑体" w:hint="eastAsia"/>
          <w:bCs/>
          <w:sz w:val="32"/>
          <w:szCs w:val="32"/>
        </w:rPr>
        <w:t>年来，研究生党员进行习近平新时代中国特色社会主义思想、党史学习教育宣讲等</w:t>
      </w:r>
      <w:r>
        <w:rPr>
          <w:rFonts w:ascii="仿宋_GB2312" w:eastAsia="仿宋_GB2312" w:hAnsi="黑体" w:cs="黑体" w:hint="eastAsia"/>
          <w:bCs/>
          <w:sz w:val="32"/>
          <w:szCs w:val="32"/>
        </w:rPr>
        <w:t>20</w:t>
      </w:r>
      <w:r>
        <w:rPr>
          <w:rFonts w:ascii="仿宋_GB2312" w:eastAsia="仿宋_GB2312" w:hAnsi="黑体" w:cs="黑体" w:hint="eastAsia"/>
          <w:bCs/>
          <w:sz w:val="32"/>
          <w:szCs w:val="32"/>
        </w:rPr>
        <w:t>余场，在报刊发表党建文章</w:t>
      </w:r>
      <w:r>
        <w:rPr>
          <w:rFonts w:ascii="仿宋_GB2312" w:eastAsia="仿宋_GB2312" w:hAnsi="黑体" w:cs="黑体" w:hint="eastAsia"/>
          <w:bCs/>
          <w:sz w:val="32"/>
          <w:szCs w:val="32"/>
        </w:rPr>
        <w:t>30</w:t>
      </w:r>
      <w:r>
        <w:rPr>
          <w:rFonts w:ascii="仿宋_GB2312" w:eastAsia="仿宋_GB2312" w:hAnsi="黑体" w:cs="黑体" w:hint="eastAsia"/>
          <w:bCs/>
          <w:sz w:val="32"/>
          <w:szCs w:val="32"/>
        </w:rPr>
        <w:t>余篇，参与导师课题</w:t>
      </w:r>
      <w:r>
        <w:rPr>
          <w:rFonts w:ascii="仿宋_GB2312" w:eastAsia="仿宋_GB2312" w:hAnsi="黑体" w:cs="黑体" w:hint="eastAsia"/>
          <w:bCs/>
          <w:sz w:val="32"/>
          <w:szCs w:val="32"/>
        </w:rPr>
        <w:t>研究项目</w:t>
      </w:r>
      <w:r>
        <w:rPr>
          <w:rFonts w:ascii="仿宋_GB2312" w:eastAsia="仿宋_GB2312" w:hAnsi="黑体" w:cs="黑体" w:hint="eastAsia"/>
          <w:bCs/>
          <w:sz w:val="32"/>
          <w:szCs w:val="32"/>
        </w:rPr>
        <w:t>10</w:t>
      </w:r>
      <w:r>
        <w:rPr>
          <w:rFonts w:ascii="仿宋_GB2312" w:eastAsia="仿宋_GB2312" w:hAnsi="黑体" w:cs="黑体" w:hint="eastAsia"/>
          <w:bCs/>
          <w:sz w:val="32"/>
          <w:szCs w:val="32"/>
        </w:rPr>
        <w:t>余项。三是充分发挥本学位点省思想政治教育研究生教育创新基地的资源和各类实践交流和育人平台，畅通“走出去”学习路径，深化“引进来”服务内涵，不断提升研究生思想政治教育水平。近两年来，学生开展社会实践交流研修</w:t>
      </w:r>
      <w:r>
        <w:rPr>
          <w:rFonts w:ascii="仿宋_GB2312" w:eastAsia="仿宋_GB2312" w:hAnsi="黑体" w:cs="黑体" w:hint="eastAsia"/>
          <w:bCs/>
          <w:sz w:val="32"/>
          <w:szCs w:val="32"/>
        </w:rPr>
        <w:t>150</w:t>
      </w:r>
      <w:r>
        <w:rPr>
          <w:rFonts w:ascii="仿宋_GB2312" w:eastAsia="仿宋_GB2312" w:hAnsi="黑体" w:cs="黑体" w:hint="eastAsia"/>
          <w:bCs/>
          <w:sz w:val="32"/>
          <w:szCs w:val="32"/>
        </w:rPr>
        <w:t>余人次，开展义工、支教等</w:t>
      </w:r>
      <w:r>
        <w:rPr>
          <w:rFonts w:ascii="仿宋_GB2312" w:eastAsia="仿宋_GB2312" w:hAnsi="黑体" w:cs="黑体" w:hint="eastAsia"/>
          <w:bCs/>
          <w:sz w:val="32"/>
          <w:szCs w:val="32"/>
        </w:rPr>
        <w:t>60</w:t>
      </w:r>
      <w:r>
        <w:rPr>
          <w:rFonts w:ascii="仿宋_GB2312" w:eastAsia="仿宋_GB2312" w:hAnsi="黑体" w:cs="黑体" w:hint="eastAsia"/>
          <w:bCs/>
          <w:sz w:val="32"/>
          <w:szCs w:val="32"/>
        </w:rPr>
        <w:t>余人次，形成调研报告和成果汇编</w:t>
      </w:r>
      <w:r>
        <w:rPr>
          <w:rFonts w:ascii="仿宋_GB2312" w:eastAsia="仿宋_GB2312" w:hAnsi="黑体" w:cs="黑体" w:hint="eastAsia"/>
          <w:bCs/>
          <w:sz w:val="32"/>
          <w:szCs w:val="32"/>
        </w:rPr>
        <w:t>200</w:t>
      </w:r>
      <w:r>
        <w:rPr>
          <w:rFonts w:ascii="仿宋_GB2312" w:eastAsia="仿宋_GB2312" w:hAnsi="黑体" w:cs="黑体" w:hint="eastAsia"/>
          <w:bCs/>
          <w:sz w:val="32"/>
          <w:szCs w:val="32"/>
        </w:rPr>
        <w:t>多篇。</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2.</w:t>
      </w:r>
      <w:r>
        <w:rPr>
          <w:rFonts w:ascii="仿宋_GB2312" w:eastAsia="仿宋_GB2312" w:hAnsi="黑体" w:cs="黑体" w:hint="eastAsia"/>
          <w:bCs/>
          <w:sz w:val="32"/>
          <w:szCs w:val="32"/>
        </w:rPr>
        <w:t>师德师风建设</w:t>
      </w:r>
    </w:p>
    <w:p w:rsidR="000C137F" w:rsidRDefault="00BB2B6A">
      <w:pPr>
        <w:spacing w:line="600" w:lineRule="exact"/>
        <w:ind w:firstLineChars="200" w:firstLine="640"/>
      </w:pPr>
      <w:r>
        <w:rPr>
          <w:rFonts w:ascii="仿宋_GB2312" w:eastAsia="仿宋_GB2312" w:hAnsi="黑体" w:cs="黑体" w:hint="eastAsia"/>
          <w:bCs/>
          <w:sz w:val="32"/>
          <w:szCs w:val="32"/>
        </w:rPr>
        <w:t>本学位点坚持把师德师风和意识形态表现作为评价导师的第一标准。根据上级部门要求，以及学校《福建农林大学教师职业行为负面清单及师德失范行为处理办法》、《师德师风和意识形态测评考核实施细则》等文件，将为人师表、学术道德、学术规范等纳入个人诚信体系，坚持自律与监督并重，严格执行“师德师风”一票否决制。同时，根据《福建农林大学关于建立健全师德建设长效机制的实施办法》，</w:t>
      </w:r>
      <w:r>
        <w:rPr>
          <w:rFonts w:ascii="仿宋_GB2312" w:eastAsia="仿宋_GB2312" w:hAnsi="黑体" w:cs="黑体" w:hint="eastAsia"/>
          <w:bCs/>
          <w:sz w:val="32"/>
          <w:szCs w:val="32"/>
        </w:rPr>
        <w:lastRenderedPageBreak/>
        <w:t>学院制定了《学科师德师风建设自查表》和《马克思主义学院教师师德师风承诺书》，着力健全师德师风建设长效机制，确保师德师风建设机制化、常态化。此外，通过定期</w:t>
      </w:r>
      <w:r>
        <w:rPr>
          <w:rFonts w:ascii="仿宋_GB2312" w:eastAsia="仿宋_GB2312" w:hAnsi="黑体" w:cs="黑体" w:hint="eastAsia"/>
          <w:bCs/>
          <w:sz w:val="32"/>
          <w:szCs w:val="32"/>
        </w:rPr>
        <w:t>组织政治学习，树立师德师风正面典型，要求教师课堂讲授有纪律，行为言论有底线，做“为党育人、为国育才”的合格的人民教师。</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3.</w:t>
      </w:r>
      <w:r>
        <w:rPr>
          <w:rFonts w:ascii="仿宋_GB2312" w:eastAsia="仿宋_GB2312" w:hAnsi="黑体" w:cs="黑体" w:hint="eastAsia"/>
          <w:bCs/>
          <w:sz w:val="32"/>
          <w:szCs w:val="32"/>
        </w:rPr>
        <w:t>招生选拔</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为确保研究生招生录取工作科学公正、规范透明，把最优秀的学生选拔到马克思主义理论学科，本学位点根据教育部《</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年全国硕士研究生招生工作管理规定》（教学函〔</w:t>
      </w:r>
      <w:r>
        <w:rPr>
          <w:rFonts w:ascii="仿宋_GB2312" w:eastAsia="仿宋_GB2312" w:hAnsi="黑体" w:cs="黑体" w:hint="eastAsia"/>
          <w:bCs/>
          <w:sz w:val="32"/>
          <w:szCs w:val="32"/>
        </w:rPr>
        <w:t>2020</w:t>
      </w:r>
      <w:r>
        <w:rPr>
          <w:rFonts w:ascii="仿宋_GB2312" w:eastAsia="仿宋_GB2312" w:hAnsi="黑体" w:cs="黑体" w:hint="eastAsia"/>
          <w:bCs/>
          <w:sz w:val="32"/>
          <w:szCs w:val="32"/>
        </w:rPr>
        <w:t>〕</w:t>
      </w:r>
      <w:r>
        <w:rPr>
          <w:rFonts w:ascii="仿宋_GB2312" w:eastAsia="仿宋_GB2312" w:hAnsi="黑体" w:cs="黑体" w:hint="eastAsia"/>
          <w:bCs/>
          <w:sz w:val="32"/>
          <w:szCs w:val="32"/>
        </w:rPr>
        <w:t>8</w:t>
      </w:r>
      <w:r>
        <w:rPr>
          <w:rFonts w:ascii="仿宋_GB2312" w:eastAsia="仿宋_GB2312" w:hAnsi="黑体" w:cs="黑体" w:hint="eastAsia"/>
          <w:bCs/>
          <w:sz w:val="32"/>
          <w:szCs w:val="32"/>
        </w:rPr>
        <w:t>号）、《教育部办公厅关于做好</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年全国硕士研究生招生录取工作的通知》（教学司</w:t>
      </w:r>
      <w:r>
        <w:rPr>
          <w:rFonts w:ascii="仿宋_GB2312" w:eastAsia="仿宋_GB2312" w:hAnsi="黑体" w:cs="黑体" w:hint="eastAsia"/>
          <w:bCs/>
          <w:sz w:val="32"/>
          <w:szCs w:val="32"/>
        </w:rPr>
        <w:t>[2021]2</w:t>
      </w:r>
      <w:r>
        <w:rPr>
          <w:rFonts w:ascii="仿宋_GB2312" w:eastAsia="仿宋_GB2312" w:hAnsi="黑体" w:cs="黑体" w:hint="eastAsia"/>
          <w:bCs/>
          <w:sz w:val="32"/>
          <w:szCs w:val="32"/>
        </w:rPr>
        <w:t>号）、福建省教育厅《关于做好</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年硕士研究生复试有关工作的通知》及《福建农林大学</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年招收攻读硕士学位研究生</w:t>
      </w:r>
      <w:r>
        <w:rPr>
          <w:rFonts w:ascii="仿宋_GB2312" w:eastAsia="仿宋_GB2312" w:hAnsi="黑体" w:cs="黑体" w:hint="eastAsia"/>
          <w:bCs/>
          <w:sz w:val="32"/>
          <w:szCs w:val="32"/>
        </w:rPr>
        <w:t>复试录取办法</w:t>
      </w: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有关规定，制定了科学细致、公平合理的复试录取办法，包括坚持“按需招生、综合素质全面衡量，择优录取，宁缺勿滥”的原则，遵循对复试考生资格进行严格审查的程序，全面考核复试考生的专业素质能力、综合素质能力、身体素质等，按照“考生总成绩排名，从高分到低分依次录取”的办法进行录取，以及对拟录取考生名单进行公示等。经过严格的招生选拔程序，本学位点</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年共录取</w:t>
      </w:r>
      <w:r>
        <w:rPr>
          <w:rFonts w:ascii="仿宋_GB2312" w:eastAsia="仿宋_GB2312" w:hAnsi="黑体" w:cs="黑体" w:hint="eastAsia"/>
          <w:bCs/>
          <w:sz w:val="32"/>
          <w:szCs w:val="32"/>
        </w:rPr>
        <w:t>37</w:t>
      </w:r>
      <w:r>
        <w:rPr>
          <w:rFonts w:ascii="仿宋_GB2312" w:eastAsia="仿宋_GB2312" w:hAnsi="黑体" w:cs="黑体" w:hint="eastAsia"/>
          <w:bCs/>
          <w:sz w:val="32"/>
          <w:szCs w:val="32"/>
        </w:rPr>
        <w:t>名研究生新生。</w:t>
      </w:r>
    </w:p>
    <w:p w:rsidR="000C137F" w:rsidRDefault="00BB2B6A">
      <w:pPr>
        <w:pStyle w:val="3"/>
        <w:adjustRightInd w:val="0"/>
        <w:snapToGrid w:val="0"/>
        <w:spacing w:before="156" w:after="156" w:line="600" w:lineRule="exact"/>
        <w:jc w:val="center"/>
        <w:rPr>
          <w:rFonts w:ascii="Times New Roman" w:hAnsi="Times New Roman"/>
          <w:sz w:val="28"/>
          <w:szCs w:val="28"/>
        </w:rPr>
      </w:pPr>
      <w:r>
        <w:rPr>
          <w:rFonts w:ascii="Times New Roman" w:hAnsi="Times New Roman" w:hint="eastAsia"/>
          <w:sz w:val="28"/>
          <w:szCs w:val="28"/>
        </w:rPr>
        <w:lastRenderedPageBreak/>
        <w:t>2021</w:t>
      </w:r>
      <w:r>
        <w:rPr>
          <w:rFonts w:ascii="Times New Roman" w:hAnsi="Times New Roman" w:hint="eastAsia"/>
          <w:sz w:val="28"/>
          <w:szCs w:val="28"/>
        </w:rPr>
        <w:t>年本学位点招生情况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0"/>
        <w:gridCol w:w="3544"/>
        <w:gridCol w:w="2126"/>
      </w:tblGrid>
      <w:tr w:rsidR="000C137F">
        <w:trPr>
          <w:trHeight w:val="374"/>
        </w:trPr>
        <w:tc>
          <w:tcPr>
            <w:tcW w:w="242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学科方向名称</w:t>
            </w: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textAlignment w:val="center"/>
              <w:rPr>
                <w:rFonts w:ascii="仿宋_GB2312" w:eastAsia="仿宋_GB2312"/>
                <w:color w:val="000000"/>
                <w:szCs w:val="21"/>
              </w:rPr>
            </w:pPr>
            <w:r>
              <w:rPr>
                <w:rFonts w:ascii="仿宋_GB2312" w:eastAsia="仿宋_GB2312" w:hint="eastAsia"/>
                <w:color w:val="000000"/>
                <w:szCs w:val="21"/>
              </w:rPr>
              <w:t>项目</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2021</w:t>
            </w:r>
            <w:r>
              <w:rPr>
                <w:rFonts w:ascii="仿宋_GB2312" w:eastAsia="仿宋_GB2312" w:hAnsi="Times New Roman" w:hint="eastAsia"/>
                <w:color w:val="000000"/>
                <w:szCs w:val="21"/>
              </w:rPr>
              <w:t>年</w:t>
            </w:r>
          </w:p>
        </w:tc>
      </w:tr>
      <w:tr w:rsidR="000C137F">
        <w:trPr>
          <w:trHeight w:val="374"/>
        </w:trPr>
        <w:tc>
          <w:tcPr>
            <w:tcW w:w="2420" w:type="dxa"/>
            <w:vMerge w:val="restart"/>
            <w:tcBorders>
              <w:top w:val="nil"/>
              <w:left w:val="single" w:sz="4" w:space="0" w:color="auto"/>
              <w:right w:val="single" w:sz="4" w:space="0" w:color="auto"/>
            </w:tcBorders>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马克思主义理论</w:t>
            </w:r>
          </w:p>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（一级学科）</w:t>
            </w: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left"/>
              <w:textAlignment w:val="center"/>
              <w:rPr>
                <w:rFonts w:ascii="仿宋_GB2312" w:eastAsia="仿宋_GB2312"/>
                <w:color w:val="000000"/>
                <w:szCs w:val="21"/>
              </w:rPr>
            </w:pPr>
            <w:r>
              <w:rPr>
                <w:rFonts w:ascii="仿宋_GB2312" w:eastAsia="仿宋_GB2312" w:hint="eastAsia"/>
                <w:color w:val="000000"/>
                <w:szCs w:val="21"/>
              </w:rPr>
              <w:t>研究生招生人数</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37</w:t>
            </w:r>
          </w:p>
        </w:tc>
      </w:tr>
      <w:tr w:rsidR="000C137F">
        <w:trPr>
          <w:trHeight w:val="374"/>
        </w:trPr>
        <w:tc>
          <w:tcPr>
            <w:tcW w:w="2420" w:type="dxa"/>
            <w:vMerge/>
            <w:tcBorders>
              <w:top w:val="nil"/>
              <w:left w:val="single" w:sz="4" w:space="0" w:color="auto"/>
              <w:bottom w:val="single" w:sz="4" w:space="0" w:color="auto"/>
              <w:right w:val="single" w:sz="4" w:space="0" w:color="auto"/>
            </w:tcBorders>
            <w:vAlign w:val="center"/>
          </w:tcPr>
          <w:p w:rsidR="000C137F" w:rsidRDefault="000C137F">
            <w:pPr>
              <w:spacing w:line="600" w:lineRule="exact"/>
              <w:rPr>
                <w:rFonts w:ascii="仿宋_GB2312" w:eastAsia="仿宋_GB2312"/>
                <w:color w:val="000000"/>
                <w:szCs w:val="21"/>
              </w:rPr>
            </w:pP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left"/>
              <w:textAlignment w:val="center"/>
              <w:rPr>
                <w:rFonts w:ascii="仿宋_GB2312" w:eastAsia="仿宋_GB2312"/>
                <w:color w:val="000000"/>
                <w:szCs w:val="21"/>
              </w:rPr>
            </w:pPr>
            <w:r>
              <w:rPr>
                <w:rFonts w:ascii="仿宋_GB2312" w:eastAsia="仿宋_GB2312" w:hint="eastAsia"/>
                <w:color w:val="000000"/>
                <w:szCs w:val="21"/>
              </w:rPr>
              <w:t>其中：全日制招生人数</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37</w:t>
            </w:r>
          </w:p>
        </w:tc>
      </w:tr>
      <w:tr w:rsidR="000C137F">
        <w:trPr>
          <w:trHeight w:val="374"/>
        </w:trPr>
        <w:tc>
          <w:tcPr>
            <w:tcW w:w="2420" w:type="dxa"/>
            <w:vMerge/>
            <w:tcBorders>
              <w:top w:val="nil"/>
              <w:left w:val="single" w:sz="4" w:space="0" w:color="auto"/>
              <w:bottom w:val="single" w:sz="4" w:space="0" w:color="auto"/>
              <w:right w:val="single" w:sz="4" w:space="0" w:color="auto"/>
            </w:tcBorders>
            <w:vAlign w:val="center"/>
          </w:tcPr>
          <w:p w:rsidR="000C137F" w:rsidRDefault="000C137F">
            <w:pPr>
              <w:spacing w:line="600" w:lineRule="exact"/>
              <w:rPr>
                <w:rFonts w:ascii="仿宋_GB2312" w:eastAsia="仿宋_GB2312"/>
                <w:color w:val="000000"/>
                <w:szCs w:val="21"/>
              </w:rPr>
            </w:pP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left"/>
              <w:textAlignment w:val="center"/>
              <w:rPr>
                <w:rFonts w:ascii="仿宋_GB2312" w:eastAsia="仿宋_GB2312"/>
                <w:color w:val="000000"/>
                <w:szCs w:val="21"/>
              </w:rPr>
            </w:pPr>
            <w:r>
              <w:rPr>
                <w:rFonts w:ascii="仿宋_GB2312" w:eastAsia="仿宋_GB2312" w:hint="eastAsia"/>
                <w:color w:val="000000"/>
                <w:szCs w:val="21"/>
              </w:rPr>
              <w:t>非全日制招生人数</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0</w:t>
            </w:r>
          </w:p>
        </w:tc>
      </w:tr>
      <w:tr w:rsidR="000C137F">
        <w:trPr>
          <w:trHeight w:val="374"/>
        </w:trPr>
        <w:tc>
          <w:tcPr>
            <w:tcW w:w="2420" w:type="dxa"/>
            <w:vMerge/>
            <w:tcBorders>
              <w:top w:val="nil"/>
              <w:left w:val="single" w:sz="4" w:space="0" w:color="auto"/>
              <w:bottom w:val="single" w:sz="4" w:space="0" w:color="auto"/>
              <w:right w:val="single" w:sz="4" w:space="0" w:color="auto"/>
            </w:tcBorders>
            <w:vAlign w:val="center"/>
          </w:tcPr>
          <w:p w:rsidR="000C137F" w:rsidRDefault="000C137F">
            <w:pPr>
              <w:spacing w:line="600" w:lineRule="exact"/>
              <w:rPr>
                <w:rFonts w:ascii="仿宋_GB2312" w:eastAsia="仿宋_GB2312"/>
                <w:color w:val="000000"/>
                <w:szCs w:val="21"/>
              </w:rPr>
            </w:pP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left"/>
              <w:textAlignment w:val="center"/>
              <w:rPr>
                <w:rFonts w:ascii="仿宋_GB2312" w:eastAsia="仿宋_GB2312"/>
                <w:color w:val="000000"/>
                <w:szCs w:val="21"/>
              </w:rPr>
            </w:pPr>
            <w:r>
              <w:rPr>
                <w:rFonts w:ascii="仿宋_GB2312" w:eastAsia="仿宋_GB2312" w:hint="eastAsia"/>
                <w:color w:val="000000"/>
                <w:szCs w:val="21"/>
              </w:rPr>
              <w:t>招录学生中本科推免生人数</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1</w:t>
            </w:r>
          </w:p>
        </w:tc>
      </w:tr>
      <w:tr w:rsidR="000C137F">
        <w:trPr>
          <w:trHeight w:val="374"/>
        </w:trPr>
        <w:tc>
          <w:tcPr>
            <w:tcW w:w="2420" w:type="dxa"/>
            <w:vMerge/>
            <w:tcBorders>
              <w:top w:val="nil"/>
              <w:left w:val="single" w:sz="4" w:space="0" w:color="auto"/>
              <w:bottom w:val="single" w:sz="4" w:space="0" w:color="auto"/>
              <w:right w:val="single" w:sz="4" w:space="0" w:color="auto"/>
            </w:tcBorders>
            <w:vAlign w:val="center"/>
          </w:tcPr>
          <w:p w:rsidR="000C137F" w:rsidRDefault="000C137F">
            <w:pPr>
              <w:spacing w:line="600" w:lineRule="exact"/>
              <w:rPr>
                <w:rFonts w:ascii="仿宋_GB2312" w:eastAsia="仿宋_GB2312"/>
                <w:color w:val="000000"/>
                <w:szCs w:val="21"/>
              </w:rPr>
            </w:pPr>
          </w:p>
        </w:tc>
        <w:tc>
          <w:tcPr>
            <w:tcW w:w="354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left"/>
              <w:textAlignment w:val="center"/>
              <w:rPr>
                <w:rFonts w:ascii="仿宋_GB2312" w:eastAsia="仿宋_GB2312"/>
                <w:color w:val="000000"/>
                <w:szCs w:val="21"/>
              </w:rPr>
            </w:pPr>
            <w:r>
              <w:rPr>
                <w:rFonts w:ascii="仿宋_GB2312" w:eastAsia="仿宋_GB2312" w:hint="eastAsia"/>
                <w:color w:val="000000"/>
                <w:szCs w:val="21"/>
              </w:rPr>
              <w:t>招录学生中普通招考人数</w:t>
            </w:r>
          </w:p>
        </w:tc>
        <w:tc>
          <w:tcPr>
            <w:tcW w:w="21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C137F" w:rsidRDefault="00BB2B6A">
            <w:pPr>
              <w:spacing w:line="600" w:lineRule="exact"/>
              <w:jc w:val="center"/>
              <w:rPr>
                <w:rFonts w:ascii="仿宋_GB2312" w:eastAsia="仿宋_GB2312"/>
                <w:color w:val="000000"/>
                <w:szCs w:val="21"/>
              </w:rPr>
            </w:pPr>
            <w:r>
              <w:rPr>
                <w:rFonts w:ascii="仿宋_GB2312" w:eastAsia="仿宋_GB2312" w:hint="eastAsia"/>
                <w:color w:val="000000"/>
                <w:szCs w:val="21"/>
              </w:rPr>
              <w:t>36</w:t>
            </w:r>
          </w:p>
        </w:tc>
      </w:tr>
    </w:tbl>
    <w:p w:rsidR="000C137F" w:rsidRDefault="000C137F">
      <w:pPr>
        <w:spacing w:line="600" w:lineRule="exact"/>
        <w:rPr>
          <w:rFonts w:ascii="仿宋_GB2312" w:eastAsia="仿宋_GB2312"/>
          <w:sz w:val="32"/>
          <w:szCs w:val="32"/>
        </w:rPr>
      </w:pPr>
    </w:p>
    <w:p w:rsidR="000C137F" w:rsidRDefault="00BB2B6A">
      <w:pPr>
        <w:pStyle w:val="3"/>
        <w:adjustRightInd w:val="0"/>
        <w:snapToGrid w:val="0"/>
        <w:spacing w:before="156" w:after="156" w:line="600" w:lineRule="exact"/>
        <w:ind w:firstLineChars="200" w:firstLine="640"/>
        <w:rPr>
          <w:rFonts w:ascii="仿宋_GB2312" w:eastAsia="仿宋_GB2312" w:hAnsi="黑体" w:cs="黑体"/>
        </w:rPr>
      </w:pPr>
      <w:r>
        <w:rPr>
          <w:rFonts w:ascii="仿宋_GB2312" w:eastAsia="仿宋_GB2312" w:hAnsi="黑体" w:cs="黑体" w:hint="eastAsia"/>
        </w:rPr>
        <w:t>4.</w:t>
      </w:r>
      <w:r>
        <w:rPr>
          <w:rFonts w:ascii="仿宋_GB2312" w:eastAsia="仿宋_GB2312" w:hAnsi="黑体" w:cs="黑体" w:hint="eastAsia"/>
        </w:rPr>
        <w:t>课程教学</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按照马克思主义理论学科研究生培养方案的要求，本学位点开设了包括学位课、必修课、选修课在内的系列课程，由教学经验丰富的教师承担。为把好教学关，确保研究生课程教学质量，学院定期组织有关教师召开备课会，大家分享经验做法，取长补短，共同提高；校研究生院成立了研究生课程教学质量督导小组，不定期到教师的课堂进行听课，并把意见和建议反馈给教师，以利不断改进。</w:t>
      </w:r>
    </w:p>
    <w:p w:rsidR="000C137F" w:rsidRDefault="00BB2B6A">
      <w:pPr>
        <w:pStyle w:val="3"/>
        <w:adjustRightInd w:val="0"/>
        <w:snapToGrid w:val="0"/>
        <w:spacing w:before="156" w:after="156" w:line="600" w:lineRule="exact"/>
        <w:jc w:val="center"/>
        <w:rPr>
          <w:rFonts w:ascii="Times New Roman" w:hAnsi="Times New Roman"/>
          <w:sz w:val="28"/>
          <w:szCs w:val="28"/>
        </w:rPr>
      </w:pPr>
      <w:r>
        <w:rPr>
          <w:rFonts w:ascii="Times New Roman" w:hAnsi="Times New Roman" w:hint="eastAsia"/>
          <w:sz w:val="28"/>
          <w:szCs w:val="28"/>
        </w:rPr>
        <w:t>2</w:t>
      </w:r>
      <w:r>
        <w:rPr>
          <w:rFonts w:ascii="Times New Roman" w:hAnsi="Times New Roman"/>
          <w:sz w:val="28"/>
          <w:szCs w:val="28"/>
        </w:rPr>
        <w:t>021</w:t>
      </w:r>
      <w:r>
        <w:rPr>
          <w:rFonts w:ascii="Times New Roman" w:hAnsi="Times New Roman" w:hint="eastAsia"/>
          <w:sz w:val="28"/>
          <w:szCs w:val="28"/>
        </w:rPr>
        <w:t>年开设课程情况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566"/>
        <w:gridCol w:w="1134"/>
        <w:gridCol w:w="1134"/>
        <w:gridCol w:w="1276"/>
        <w:gridCol w:w="1417"/>
      </w:tblGrid>
      <w:tr w:rsidR="000C137F">
        <w:trPr>
          <w:trHeight w:val="612"/>
        </w:trPr>
        <w:tc>
          <w:tcPr>
            <w:tcW w:w="661"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序号</w:t>
            </w:r>
          </w:p>
        </w:tc>
        <w:tc>
          <w:tcPr>
            <w:tcW w:w="2566"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课程名称</w:t>
            </w:r>
          </w:p>
        </w:tc>
        <w:tc>
          <w:tcPr>
            <w:tcW w:w="1134"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课程类型</w:t>
            </w:r>
          </w:p>
        </w:tc>
        <w:tc>
          <w:tcPr>
            <w:tcW w:w="1134"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学分</w:t>
            </w:r>
          </w:p>
        </w:tc>
        <w:tc>
          <w:tcPr>
            <w:tcW w:w="1276"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授课教师</w:t>
            </w:r>
          </w:p>
        </w:tc>
        <w:tc>
          <w:tcPr>
            <w:tcW w:w="1417" w:type="dxa"/>
            <w:noWrap/>
            <w:vAlign w:val="center"/>
          </w:tcPr>
          <w:p w:rsidR="000C137F" w:rsidRDefault="00BB2B6A">
            <w:pPr>
              <w:spacing w:line="600" w:lineRule="exact"/>
              <w:jc w:val="center"/>
              <w:rPr>
                <w:rFonts w:ascii="仿宋_GB2312" w:eastAsia="仿宋_GB2312" w:cs="Arial"/>
                <w:szCs w:val="21"/>
              </w:rPr>
            </w:pPr>
            <w:r>
              <w:rPr>
                <w:rFonts w:ascii="仿宋_GB2312" w:eastAsia="仿宋_GB2312" w:cs="Arial" w:hint="eastAsia"/>
                <w:szCs w:val="21"/>
              </w:rPr>
              <w:t>授课语言</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思想政治教育学原理与方法</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刘新玲</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马克思主义经典著作</w:t>
            </w:r>
          </w:p>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选读</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李宝艳</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马克思主义与中国现代化研究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郑元景</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4</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马克思主义基本原理专题研究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郑元景</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5</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w:t>
            </w:r>
          </w:p>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发展史</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林贤明</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6</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马克思主义与社会科学方法论</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谭文华</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7</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中国特色社会主义理论与实践</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蔡光明</w:t>
            </w:r>
          </w:p>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于峰</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8</w:t>
            </w:r>
          </w:p>
        </w:tc>
        <w:tc>
          <w:tcPr>
            <w:tcW w:w="2566"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专业英语</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学位课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邓龙九</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英文，中文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9</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中国特色社会主义理论体系专题研究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必修课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郑传芳</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10</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马克思主义理论前沿问题研究</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必修课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刘新玲</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11</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当代中国社会思潮</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必修课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刘淑兰</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12</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习近平总书记关于教育重要论述研究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必修课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黄敏</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13</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论文写作指导</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必修课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郑兴明</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14</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习近平生态文明思想概论</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罗贤宇</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15</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马克思主义中国化专题研究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李文生</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16</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当代中国经济专题研究</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郑兴明</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17</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国外马克思主义前沿问题研究</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陈芳芳</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18</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思想政治教育心理学</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詹</w:t>
            </w:r>
            <w:r>
              <w:rPr>
                <w:rFonts w:ascii="微软雅黑" w:eastAsia="微软雅黑" w:hAnsi="微软雅黑" w:cs="微软雅黑" w:hint="eastAsia"/>
                <w:sz w:val="18"/>
                <w:szCs w:val="18"/>
              </w:rPr>
              <w:t>鋆</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19</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中国社会思想史</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李宝艳</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r w:rsidR="000C137F">
        <w:trPr>
          <w:trHeight w:val="612"/>
        </w:trPr>
        <w:tc>
          <w:tcPr>
            <w:tcW w:w="661"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20</w:t>
            </w:r>
          </w:p>
        </w:tc>
        <w:tc>
          <w:tcPr>
            <w:tcW w:w="256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科技政策与科技管理</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选修课</w:t>
            </w:r>
          </w:p>
        </w:tc>
        <w:tc>
          <w:tcPr>
            <w:tcW w:w="1134"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1276" w:type="dxa"/>
            <w:noWrap/>
            <w:vAlign w:val="center"/>
          </w:tcPr>
          <w:p w:rsidR="000C137F" w:rsidRDefault="00BB2B6A">
            <w:pPr>
              <w:adjustRightInd w:val="0"/>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谭文华</w:t>
            </w:r>
          </w:p>
        </w:tc>
        <w:tc>
          <w:tcPr>
            <w:tcW w:w="1417" w:type="dxa"/>
            <w:noWrap/>
            <w:vAlign w:val="center"/>
          </w:tcPr>
          <w:p w:rsidR="000C137F" w:rsidRDefault="00BB2B6A">
            <w:pPr>
              <w:spacing w:line="600" w:lineRule="exact"/>
              <w:jc w:val="center"/>
              <w:rPr>
                <w:rFonts w:ascii="仿宋_GB2312" w:eastAsia="仿宋_GB2312" w:hAnsi="Times New Roman"/>
                <w:sz w:val="18"/>
                <w:szCs w:val="18"/>
              </w:rPr>
            </w:pPr>
            <w:r>
              <w:rPr>
                <w:rFonts w:ascii="仿宋_GB2312" w:eastAsia="仿宋_GB2312" w:hAnsi="Times New Roman" w:hint="eastAsia"/>
                <w:sz w:val="18"/>
                <w:szCs w:val="18"/>
              </w:rPr>
              <w:t>中文</w:t>
            </w:r>
          </w:p>
        </w:tc>
      </w:tr>
    </w:tbl>
    <w:p w:rsidR="000C137F" w:rsidRDefault="00BB2B6A">
      <w:pPr>
        <w:pStyle w:val="3"/>
        <w:spacing w:before="156" w:after="156" w:line="600" w:lineRule="exact"/>
        <w:ind w:firstLineChars="200" w:firstLine="640"/>
        <w:rPr>
          <w:rFonts w:ascii="仿宋_GB2312" w:eastAsia="仿宋_GB2312" w:hAnsi="黑体" w:cs="黑体"/>
        </w:rPr>
      </w:pPr>
      <w:r>
        <w:rPr>
          <w:rFonts w:ascii="仿宋_GB2312" w:eastAsia="仿宋_GB2312" w:hAnsi="黑体" w:cs="黑体" w:hint="eastAsia"/>
        </w:rPr>
        <w:lastRenderedPageBreak/>
        <w:t>5.</w:t>
      </w:r>
      <w:r>
        <w:rPr>
          <w:rFonts w:ascii="仿宋_GB2312" w:eastAsia="仿宋_GB2312" w:hAnsi="黑体" w:cs="黑体" w:hint="eastAsia"/>
        </w:rPr>
        <w:t>导师管理</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本学位点在加强导师管理方面，做了大量卓有成效的工作。一是严格贯彻落实导师管理制度。坚持以制度管人，将严格贯彻落实学校有关制度作为规范导师行为的基本举措，如落实《福建农林大学研究生指导教师招生资格认定与管理办法》、《研究生导师指导行为准则》、《关于深化新时代教师队伍建设改革的若干意见》、《福建农林大学教师职业行为负面清单及师德失范行为处理办法》等学校相关制度和文件精神，形成导师选聘、考核、奖惩等长效机制，并制定师德师风建设自查表，把师德师风表现作为评价导师的第一标准，实行师德师风一票否决制。</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二是鼓励导师参加学校和学院举办的各种培训。本学位点所有在岗硕士生导师均参加了学校和学院举办各种形式的研究生导师培训，如研究生导师培训会、学习习近平</w:t>
      </w:r>
      <w:r>
        <w:rPr>
          <w:rFonts w:ascii="仿宋_GB2312" w:eastAsia="仿宋_GB2312" w:hAnsi="黑体" w:cs="黑体" w:hint="eastAsia"/>
          <w:bCs/>
          <w:sz w:val="32"/>
          <w:szCs w:val="32"/>
        </w:rPr>
        <w:t>总书记</w:t>
      </w:r>
      <w:r>
        <w:rPr>
          <w:rFonts w:ascii="仿宋_GB2312" w:eastAsia="仿宋_GB2312" w:hAnsi="黑体" w:cs="黑体" w:hint="eastAsia"/>
          <w:bCs/>
          <w:sz w:val="32"/>
          <w:szCs w:val="32"/>
        </w:rPr>
        <w:t>对研究生教育工作重要指示导师专题培训会、“研究和阐释党的十九届五中全会精神”专家辅导会，等等。通过培训，既让导师对学校研究生培养的相关制度和要求有了更进一步的了解，也促进了导师为学、为师、为人等方面素养的提升。</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三是以学科优势提升导师育人水平。依托学科建设、科研平台、社会实践等不断提升导师的科研育人水平，严格落实导师在研究生思政教育中“第一责任人”作用，导师</w:t>
      </w:r>
      <w:r>
        <w:rPr>
          <w:rFonts w:ascii="仿宋_GB2312" w:eastAsia="仿宋_GB2312" w:hAnsi="黑体" w:cs="黑体" w:hint="eastAsia"/>
          <w:bCs/>
          <w:sz w:val="32"/>
          <w:szCs w:val="32"/>
        </w:rPr>
        <w:t>对研究生的学习、研究、实践等实行全过程指导。同时，导师通</w:t>
      </w:r>
      <w:r>
        <w:rPr>
          <w:rFonts w:ascii="仿宋_GB2312" w:eastAsia="仿宋_GB2312" w:hAnsi="黑体" w:cs="黑体" w:hint="eastAsia"/>
          <w:bCs/>
          <w:sz w:val="32"/>
          <w:szCs w:val="32"/>
        </w:rPr>
        <w:lastRenderedPageBreak/>
        <w:t>过与研究生谈心、共度节日等形式，及时了解研究生心理动态，疏解其心理压力，调查显示，学生对导师关心爱护学生满意度为</w:t>
      </w:r>
      <w:r>
        <w:rPr>
          <w:rFonts w:ascii="仿宋_GB2312" w:eastAsia="仿宋_GB2312" w:hAnsi="黑体" w:cs="黑体" w:hint="eastAsia"/>
          <w:bCs/>
          <w:sz w:val="32"/>
          <w:szCs w:val="32"/>
        </w:rPr>
        <w:t>94.78%</w:t>
      </w:r>
      <w:r>
        <w:rPr>
          <w:rFonts w:ascii="仿宋_GB2312" w:eastAsia="仿宋_GB2312" w:hAnsi="黑体" w:cs="黑体" w:hint="eastAsia"/>
          <w:bCs/>
          <w:sz w:val="32"/>
          <w:szCs w:val="32"/>
        </w:rPr>
        <w:t>。</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6.</w:t>
      </w:r>
      <w:r>
        <w:rPr>
          <w:rFonts w:ascii="仿宋_GB2312" w:eastAsia="仿宋_GB2312" w:hAnsi="黑体" w:cs="黑体" w:hint="eastAsia"/>
          <w:bCs/>
          <w:sz w:val="32"/>
          <w:szCs w:val="32"/>
        </w:rPr>
        <w:t>学术训练</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本学位点支持和鼓励研究生参加学术训练或实习实践，并取得了良好成效。一是定期开展并鼓励研究生参加各种形式的理论学习活动。近年来，通过读书社、沙龙、党课等形式开办理论讲座</w:t>
      </w:r>
      <w:r>
        <w:rPr>
          <w:rFonts w:ascii="仿宋_GB2312" w:eastAsia="仿宋_GB2312" w:hAnsi="黑体" w:cs="黑体" w:hint="eastAsia"/>
          <w:bCs/>
          <w:sz w:val="32"/>
          <w:szCs w:val="32"/>
        </w:rPr>
        <w:t>150</w:t>
      </w:r>
      <w:r>
        <w:rPr>
          <w:rFonts w:ascii="仿宋_GB2312" w:eastAsia="仿宋_GB2312" w:hAnsi="黑体" w:cs="黑体" w:hint="eastAsia"/>
          <w:bCs/>
          <w:sz w:val="32"/>
          <w:szCs w:val="32"/>
        </w:rPr>
        <w:t>多场，推荐经典好书</w:t>
      </w:r>
      <w:r>
        <w:rPr>
          <w:rFonts w:ascii="仿宋_GB2312" w:eastAsia="仿宋_GB2312" w:hAnsi="黑体" w:cs="黑体" w:hint="eastAsia"/>
          <w:bCs/>
          <w:sz w:val="32"/>
          <w:szCs w:val="32"/>
        </w:rPr>
        <w:t>100</w:t>
      </w:r>
      <w:r>
        <w:rPr>
          <w:rFonts w:ascii="仿宋_GB2312" w:eastAsia="仿宋_GB2312" w:hAnsi="黑体" w:cs="黑体" w:hint="eastAsia"/>
          <w:bCs/>
          <w:sz w:val="32"/>
          <w:szCs w:val="32"/>
        </w:rPr>
        <w:t>多部；推动并辅导学生参与省“一‘马’当先”知识竞赛等并取得好成绩。这些活动的开展，营造了良好学术氛围，增强了学生学术志</w:t>
      </w:r>
      <w:r>
        <w:rPr>
          <w:rFonts w:ascii="仿宋_GB2312" w:eastAsia="仿宋_GB2312" w:hAnsi="黑体" w:cs="黑体" w:hint="eastAsia"/>
          <w:bCs/>
          <w:sz w:val="32"/>
          <w:szCs w:val="32"/>
        </w:rPr>
        <w:t>趣。</w:t>
      </w:r>
    </w:p>
    <w:p w:rsidR="000C137F" w:rsidRDefault="00BB2B6A">
      <w:pPr>
        <w:spacing w:line="600" w:lineRule="exact"/>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二是支持和鼓励研究生参加本领域国内外重要学术会议和征文活动。</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年，杨帅同学参加了首届全国农林高校马克思主义理论研究生论坛、“百年大党与杭州现代化”全国社科学术研讨会、“脱贫攻坚庆百年</w:t>
      </w:r>
      <w:r>
        <w:rPr>
          <w:rFonts w:ascii="仿宋_GB2312" w:eastAsia="仿宋_GB2312" w:hAnsi="黑体" w:cs="黑体" w:hint="eastAsia"/>
          <w:bCs/>
          <w:sz w:val="32"/>
          <w:szCs w:val="32"/>
        </w:rPr>
        <w:t xml:space="preserve"> </w:t>
      </w:r>
      <w:r>
        <w:rPr>
          <w:rFonts w:ascii="仿宋_GB2312" w:eastAsia="仿宋_GB2312" w:hAnsi="黑体" w:cs="黑体" w:hint="eastAsia"/>
          <w:bCs/>
          <w:sz w:val="32"/>
          <w:szCs w:val="32"/>
        </w:rPr>
        <w:t>乡村振兴筑新篇”全国农林高校学生学术交流论坛，贾珍珍同学参加了福建省社科界</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年学术年会习近平生态文明思想主题研讨会、福建社科界庆祝中国共产党成立</w:t>
      </w:r>
      <w:r>
        <w:rPr>
          <w:rFonts w:ascii="仿宋_GB2312" w:eastAsia="仿宋_GB2312" w:hAnsi="黑体" w:cs="黑体" w:hint="eastAsia"/>
          <w:bCs/>
          <w:sz w:val="32"/>
          <w:szCs w:val="32"/>
        </w:rPr>
        <w:t>100</w:t>
      </w:r>
      <w:r>
        <w:rPr>
          <w:rFonts w:ascii="仿宋_GB2312" w:eastAsia="仿宋_GB2312" w:hAnsi="黑体" w:cs="黑体" w:hint="eastAsia"/>
          <w:bCs/>
          <w:sz w:val="32"/>
          <w:szCs w:val="32"/>
        </w:rPr>
        <w:t>周年青年学者论坛，王艺筱同学参加了福建省社科界</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年学术年会习近平生态文明思想主题研讨会、福建社科界庆祝中国共产党成立</w:t>
      </w:r>
      <w:r>
        <w:rPr>
          <w:rFonts w:ascii="仿宋_GB2312" w:eastAsia="仿宋_GB2312" w:hAnsi="黑体" w:cs="黑体" w:hint="eastAsia"/>
          <w:bCs/>
          <w:sz w:val="32"/>
          <w:szCs w:val="32"/>
        </w:rPr>
        <w:t>100</w:t>
      </w:r>
      <w:r>
        <w:rPr>
          <w:rFonts w:ascii="仿宋_GB2312" w:eastAsia="仿宋_GB2312" w:hAnsi="黑体" w:cs="黑体" w:hint="eastAsia"/>
          <w:bCs/>
          <w:sz w:val="32"/>
          <w:szCs w:val="32"/>
        </w:rPr>
        <w:t>周年青年学者论坛；郭林凯同学参加</w:t>
      </w:r>
      <w:r>
        <w:rPr>
          <w:rFonts w:ascii="仿宋_GB2312" w:eastAsia="仿宋_GB2312" w:hAnsi="黑体" w:cs="黑体" w:hint="eastAsia"/>
          <w:bCs/>
          <w:sz w:val="32"/>
          <w:szCs w:val="32"/>
        </w:rPr>
        <w:t>了第四届福建省高校大学生主题征文活动并获得一等奖，贾珍珍和彭芳同学合作的论文获得福建省高等学校思想政治教育研究会</w:t>
      </w:r>
      <w:r>
        <w:rPr>
          <w:rFonts w:ascii="仿宋_GB2312" w:eastAsia="仿宋_GB2312" w:hAnsi="黑体" w:cs="黑体" w:hint="eastAsia"/>
          <w:bCs/>
          <w:sz w:val="32"/>
          <w:szCs w:val="32"/>
        </w:rPr>
        <w:t>2020</w:t>
      </w:r>
      <w:r>
        <w:rPr>
          <w:rFonts w:ascii="仿宋_GB2312" w:eastAsia="仿宋_GB2312" w:hAnsi="黑体" w:cs="黑体" w:hint="eastAsia"/>
          <w:bCs/>
          <w:sz w:val="32"/>
          <w:szCs w:val="32"/>
        </w:rPr>
        <w:t>年年会</w:t>
      </w:r>
      <w:r>
        <w:rPr>
          <w:rFonts w:ascii="仿宋_GB2312" w:eastAsia="仿宋_GB2312" w:hAnsi="黑体" w:cs="黑体" w:hint="eastAsia"/>
          <w:bCs/>
          <w:sz w:val="32"/>
          <w:szCs w:val="32"/>
        </w:rPr>
        <w:lastRenderedPageBreak/>
        <w:t>优秀论文一等奖，宋乐乐同学的作品入围第二届福建省高校“学问杯”影评大赛，等等。</w:t>
      </w:r>
    </w:p>
    <w:p w:rsidR="000C137F" w:rsidRDefault="00BB2B6A">
      <w:pPr>
        <w:spacing w:line="600" w:lineRule="exact"/>
        <w:ind w:firstLineChars="200" w:firstLine="640"/>
        <w:rPr>
          <w:rFonts w:ascii="仿宋_GB2312" w:eastAsia="仿宋_GB2312" w:hAnsi="黑体" w:cs="黑体"/>
          <w:b/>
          <w:sz w:val="32"/>
          <w:szCs w:val="32"/>
        </w:rPr>
      </w:pPr>
      <w:r>
        <w:rPr>
          <w:rFonts w:ascii="仿宋_GB2312" w:eastAsia="仿宋_GB2312" w:hAnsi="黑体" w:cs="黑体" w:hint="eastAsia"/>
          <w:bCs/>
          <w:sz w:val="32"/>
          <w:szCs w:val="32"/>
        </w:rPr>
        <w:t>三是支持和鼓励研究生独立申报和参与课题研究。在鼓励研究生积极参与导师的课题研究之外，还支持研究生独立申报主持课题。本学位点制定了《福建农林大学马克思主义学院优秀硕士学位论文资助基金管理细则》，鼓励研究生参与优秀研究生学位论文资助基金项目的申报，</w:t>
      </w:r>
      <w:r>
        <w:rPr>
          <w:rFonts w:ascii="仿宋_GB2312" w:eastAsia="仿宋_GB2312" w:hAnsi="黑体" w:cs="黑体" w:hint="eastAsia"/>
          <w:bCs/>
          <w:sz w:val="32"/>
          <w:szCs w:val="32"/>
        </w:rPr>
        <w:t>2020</w:t>
      </w:r>
      <w:r>
        <w:rPr>
          <w:rFonts w:ascii="仿宋_GB2312" w:eastAsia="仿宋_GB2312" w:hAnsi="黑体" w:cs="黑体" w:hint="eastAsia"/>
          <w:bCs/>
          <w:sz w:val="32"/>
          <w:szCs w:val="32"/>
        </w:rPr>
        <w:t>年推荐彭芳同学为优硕基金资助人选；</w:t>
      </w:r>
      <w:r>
        <w:rPr>
          <w:rFonts w:ascii="仿宋_GB2312" w:eastAsia="仿宋_GB2312" w:hAnsi="黑体" w:cs="黑体" w:hint="eastAsia"/>
          <w:bCs/>
          <w:sz w:val="32"/>
          <w:szCs w:val="32"/>
        </w:rPr>
        <w:t>2021</w:t>
      </w:r>
      <w:r>
        <w:rPr>
          <w:rFonts w:ascii="仿宋_GB2312" w:eastAsia="仿宋_GB2312" w:hAnsi="黑体" w:cs="黑体" w:hint="eastAsia"/>
          <w:bCs/>
          <w:sz w:val="32"/>
          <w:szCs w:val="32"/>
        </w:rPr>
        <w:t>年首次设立研</w:t>
      </w:r>
      <w:r>
        <w:rPr>
          <w:rFonts w:ascii="仿宋_GB2312" w:eastAsia="仿宋_GB2312" w:hAnsi="黑体" w:cs="黑体" w:hint="eastAsia"/>
          <w:bCs/>
          <w:sz w:val="32"/>
          <w:szCs w:val="32"/>
        </w:rPr>
        <w:t>究生科学研究基金项目，鼓励和资助研究生在本学科基础性、前沿性领域设立研究课题，最终</w:t>
      </w:r>
      <w:r>
        <w:rPr>
          <w:rFonts w:ascii="仿宋_GB2312" w:eastAsia="仿宋_GB2312" w:hAnsi="黑体" w:cs="黑体" w:hint="eastAsia"/>
          <w:bCs/>
          <w:sz w:val="32"/>
          <w:szCs w:val="32"/>
        </w:rPr>
        <w:t>10</w:t>
      </w:r>
      <w:r>
        <w:rPr>
          <w:rFonts w:ascii="仿宋_GB2312" w:eastAsia="仿宋_GB2312" w:hAnsi="黑体" w:cs="黑体" w:hint="eastAsia"/>
          <w:bCs/>
          <w:sz w:val="32"/>
          <w:szCs w:val="32"/>
        </w:rPr>
        <w:t>项课题获得立项，立项经费共</w:t>
      </w:r>
      <w:r>
        <w:rPr>
          <w:rFonts w:ascii="仿宋_GB2312" w:eastAsia="仿宋_GB2312" w:hAnsi="黑体" w:cs="黑体" w:hint="eastAsia"/>
          <w:bCs/>
          <w:sz w:val="32"/>
          <w:szCs w:val="32"/>
        </w:rPr>
        <w:t>3</w:t>
      </w:r>
      <w:r>
        <w:rPr>
          <w:rFonts w:ascii="仿宋_GB2312" w:eastAsia="仿宋_GB2312" w:hAnsi="黑体" w:cs="黑体" w:hint="eastAsia"/>
          <w:bCs/>
          <w:sz w:val="32"/>
          <w:szCs w:val="32"/>
        </w:rPr>
        <w:t>万元。近两年学生课题参与率</w:t>
      </w:r>
      <w:r>
        <w:rPr>
          <w:rFonts w:ascii="仿宋_GB2312" w:eastAsia="仿宋_GB2312" w:hAnsi="黑体" w:cs="黑体" w:hint="eastAsia"/>
          <w:bCs/>
          <w:sz w:val="32"/>
          <w:szCs w:val="32"/>
        </w:rPr>
        <w:t>90%</w:t>
      </w:r>
      <w:r>
        <w:rPr>
          <w:rFonts w:ascii="仿宋_GB2312" w:eastAsia="仿宋_GB2312" w:hAnsi="黑体" w:cs="黑体" w:hint="eastAsia"/>
          <w:bCs/>
          <w:sz w:val="32"/>
          <w:szCs w:val="32"/>
        </w:rPr>
        <w:t>，发表论文</w:t>
      </w:r>
      <w:r>
        <w:rPr>
          <w:rFonts w:ascii="仿宋_GB2312" w:eastAsia="仿宋_GB2312" w:hAnsi="黑体" w:cs="黑体" w:hint="eastAsia"/>
          <w:bCs/>
          <w:sz w:val="32"/>
          <w:szCs w:val="32"/>
        </w:rPr>
        <w:t>130</w:t>
      </w:r>
      <w:r>
        <w:rPr>
          <w:rFonts w:ascii="仿宋_GB2312" w:eastAsia="仿宋_GB2312" w:hAnsi="黑体" w:cs="黑体" w:hint="eastAsia"/>
          <w:bCs/>
          <w:sz w:val="32"/>
          <w:szCs w:val="32"/>
        </w:rPr>
        <w:t>余篇。</w:t>
      </w:r>
    </w:p>
    <w:p w:rsidR="000C137F" w:rsidRDefault="00BB2B6A">
      <w:pPr>
        <w:numPr>
          <w:ilvl w:val="0"/>
          <w:numId w:val="1"/>
        </w:numPr>
        <w:spacing w:line="600" w:lineRule="exact"/>
        <w:ind w:firstLineChars="200" w:firstLine="640"/>
        <w:rPr>
          <w:rFonts w:ascii="Times New Roman" w:eastAsia="楷体_GB2312" w:hAnsi="Times New Roman"/>
          <w:bCs/>
          <w:color w:val="000000"/>
          <w:kern w:val="0"/>
          <w:sz w:val="32"/>
          <w:szCs w:val="32"/>
        </w:rPr>
      </w:pPr>
      <w:r>
        <w:rPr>
          <w:rFonts w:ascii="Times New Roman" w:eastAsia="楷体_GB2312" w:hAnsi="Times New Roman" w:hint="eastAsia"/>
          <w:bCs/>
          <w:color w:val="000000"/>
          <w:kern w:val="0"/>
          <w:sz w:val="32"/>
          <w:szCs w:val="32"/>
        </w:rPr>
        <w:t>质量监控</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国务院学位委员会颁布的研究生教育质量管理规定、学校研究生培养方案和考核办法为指导，学院制定了《马克思主义理论学科学术学位硕士研究培养方案》，严格落实制度，强化质量管控，加强研究生教育质量监控体系建设。</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优化分流淘汰机制。</w:t>
      </w:r>
      <w:r>
        <w:rPr>
          <w:rFonts w:ascii="仿宋_GB2312" w:eastAsia="仿宋_GB2312" w:hAnsi="仿宋" w:cs="仿宋" w:hint="eastAsia"/>
          <w:sz w:val="32"/>
          <w:szCs w:val="32"/>
        </w:rPr>
        <w:t>首先，完善硕士生选拔环节。选择资格考核环节作为突破口，以素质能力为基础的申请和考核相结合的选拔机制，充分利</w:t>
      </w:r>
      <w:r>
        <w:rPr>
          <w:rFonts w:ascii="仿宋_GB2312" w:eastAsia="仿宋_GB2312" w:hAnsi="仿宋" w:cs="仿宋" w:hint="eastAsia"/>
          <w:sz w:val="32"/>
          <w:szCs w:val="32"/>
        </w:rPr>
        <w:t>用笔试、面试、心理测试等考核方式对考生进行全方位考核。其次，完善中期淘汰分流退出机制。一般于第三学期举行中期考核，根据中期考核或复审的结论，考核结果为“不合格”的研究生，要终止攻读硕士学位，发给肄业证书。再次，强化淘汰与激励相结合。完</w:t>
      </w:r>
      <w:r>
        <w:rPr>
          <w:rFonts w:ascii="仿宋_GB2312" w:eastAsia="仿宋_GB2312" w:hAnsi="仿宋" w:cs="仿宋" w:hint="eastAsia"/>
          <w:sz w:val="32"/>
          <w:szCs w:val="32"/>
        </w:rPr>
        <w:lastRenderedPageBreak/>
        <w:t>善研究生奖学金、助学金政策，设立研究生创新基金项目，根据研究生学术研究成果、创新意识等进行综合考核，设置不同等级的奖学金标准，以激发研究生不断突破科研成果。最后，持续监管保证淘汰分流机制实施。学院网站公开实施分流淘汰的各个环节信息，学院学术委员会参与监管全过程，确保分流淘汰机制</w:t>
      </w:r>
      <w:r>
        <w:rPr>
          <w:rFonts w:ascii="仿宋_GB2312" w:eastAsia="仿宋_GB2312" w:hAnsi="仿宋" w:cs="仿宋" w:hint="eastAsia"/>
          <w:sz w:val="32"/>
          <w:szCs w:val="32"/>
        </w:rPr>
        <w:t>落实到位。</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严格学位论文管理。</w:t>
      </w:r>
      <w:r>
        <w:rPr>
          <w:rFonts w:ascii="仿宋_GB2312" w:eastAsia="仿宋_GB2312" w:hAnsi="仿宋" w:cs="仿宋" w:hint="eastAsia"/>
          <w:sz w:val="32"/>
          <w:szCs w:val="32"/>
        </w:rPr>
        <w:t>首先，认真落实学院制定的研究生培养方案，监督培养计划执行，严格审核研究生培养各环节是否达到规定要求；其次，加强学位论文质量全过程管理，落实导师是研究生培养第一责任人的要求，严格把关学位论文研究工作、写作发表、学术水平和学术规范性，持续加强学术诚信教育，强化学术伦理和学术规范指导；再次，制订《马克思主义理论一级学科硕士学位授予标准》，明确学位论文规范、评阅规则和核查办法，真实体现研究生的学术能力与学术规范；最后，严格学位论文答辩管理，除依法律法规需要保密外，学位论文均严格实行</w:t>
      </w:r>
      <w:r>
        <w:rPr>
          <w:rFonts w:ascii="仿宋_GB2312" w:eastAsia="仿宋_GB2312" w:hAnsi="仿宋" w:cs="仿宋" w:hint="eastAsia"/>
          <w:sz w:val="32"/>
          <w:szCs w:val="32"/>
        </w:rPr>
        <w:t>公开答辩，答辩人员、时间、地点、程序安排及答辩委员会组成等信息均在学院网站公开，接受社会监督。同时，学院还建立了原始记录收集、整理、归档制度，严格规范档案管理，确保涉及学位论文开题、学位论文评阅、答辩、学位授予等重要记录的档案留存全面真实完整。</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3.</w:t>
      </w:r>
      <w:r>
        <w:rPr>
          <w:rFonts w:ascii="仿宋_GB2312" w:eastAsia="仿宋_GB2312" w:hAnsi="仿宋" w:cs="仿宋" w:hint="eastAsia"/>
          <w:bCs/>
          <w:sz w:val="32"/>
          <w:szCs w:val="32"/>
        </w:rPr>
        <w:t>强化学风建设教育。</w:t>
      </w:r>
      <w:r>
        <w:rPr>
          <w:rFonts w:ascii="仿宋_GB2312" w:eastAsia="仿宋_GB2312" w:hAnsi="仿宋" w:cs="仿宋" w:hint="eastAsia"/>
          <w:sz w:val="32"/>
          <w:szCs w:val="32"/>
        </w:rPr>
        <w:t>学风建设是提高教育教学质量的前提，是实现高校培育目标的重要条件，营造优良、淳厚的</w:t>
      </w:r>
      <w:r>
        <w:rPr>
          <w:rFonts w:ascii="仿宋_GB2312" w:eastAsia="仿宋_GB2312" w:hAnsi="仿宋" w:cs="仿宋" w:hint="eastAsia"/>
          <w:sz w:val="32"/>
          <w:szCs w:val="32"/>
        </w:rPr>
        <w:lastRenderedPageBreak/>
        <w:t>学风是贯彻落实党的教育方针的着力点。学院从实际出发积极开展强化规范、榜样教育、经验交流等各种活动，充分发挥学校获得全国文明校园、全国生态文明教育基地等平台资源，推动</w:t>
      </w:r>
      <w:r>
        <w:rPr>
          <w:rFonts w:ascii="仿宋_GB2312" w:eastAsia="仿宋_GB2312" w:hAnsi="仿宋" w:cs="仿宋" w:hint="eastAsia"/>
          <w:sz w:val="32"/>
          <w:szCs w:val="32"/>
        </w:rPr>
        <w:t>环境育人，全面助推学院学风建设新局面。学院加强顶层设计，完善制度规范，全面构建学风建设体系，夯实学风教育基础。一是系统化谋划。学院统筹教育教学各环节、人才培养各方面的育人资源和育人力量，从体制机制上抓学风教育；二是制度化规范。结合学院学科特色和工作实际，制定出台了研究生导师制度等管理制度</w:t>
      </w:r>
      <w:r>
        <w:rPr>
          <w:rFonts w:ascii="仿宋_GB2312" w:eastAsia="仿宋_GB2312" w:hAnsi="仿宋" w:cs="仿宋" w:hint="eastAsia"/>
          <w:sz w:val="32"/>
          <w:szCs w:val="32"/>
        </w:rPr>
        <w:t>,</w:t>
      </w:r>
      <w:r>
        <w:rPr>
          <w:rFonts w:ascii="仿宋_GB2312" w:eastAsia="仿宋_GB2312" w:hAnsi="仿宋" w:cs="仿宋" w:hint="eastAsia"/>
          <w:sz w:val="32"/>
          <w:szCs w:val="32"/>
        </w:rPr>
        <w:t>为开创学院学风建设新局面提供制度保证；三是项目化打造。开展学风教育专项活动，探索特色品牌项目引领，依托“名师工作室”，开展“读书会”“学术沙龙”“名师论坛”等系列学术文化教育主题活动。此外，重视学生实践教育，注重基层调研与</w:t>
      </w:r>
      <w:r>
        <w:rPr>
          <w:rFonts w:ascii="仿宋_GB2312" w:eastAsia="仿宋_GB2312" w:hAnsi="仿宋" w:cs="仿宋" w:hint="eastAsia"/>
          <w:sz w:val="32"/>
          <w:szCs w:val="32"/>
        </w:rPr>
        <w:t>理论宣讲相结合，让学生参与导师科研项目，围绕基层党的思想建设、乡村振兴、福建红色文化等开展深入社会调研，培养学生求实、务实作风。</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4.</w:t>
      </w:r>
      <w:r>
        <w:rPr>
          <w:rFonts w:ascii="仿宋_GB2312" w:eastAsia="仿宋_GB2312" w:hAnsi="仿宋" w:cs="仿宋" w:hint="eastAsia"/>
          <w:bCs/>
          <w:sz w:val="32"/>
          <w:szCs w:val="32"/>
        </w:rPr>
        <w:t>促进学生就业发展。</w:t>
      </w:r>
      <w:r>
        <w:rPr>
          <w:rFonts w:ascii="仿宋_GB2312" w:eastAsia="仿宋_GB2312" w:hAnsi="仿宋" w:cs="仿宋" w:hint="eastAsia"/>
          <w:sz w:val="32"/>
          <w:szCs w:val="32"/>
        </w:rPr>
        <w:t>解决好学生的就业问题是学科发展的生命线。长期以来，学院以学科建设为抓手，努力培养一批具备能够较好运用马克思主义立场、观点和方法独立分析和解决现实问题的能力，成为能够胜任本学科相关的理论研究、教育教学、宣传和实际工作的专门人才。为了促进学生就业发展，学院将毕业生就业工作作为学科建设和人才培养的重要环节，把毕业生就业状况纳入学科建设评估体系中。</w:t>
      </w:r>
      <w:r>
        <w:rPr>
          <w:rFonts w:ascii="仿宋_GB2312" w:eastAsia="仿宋_GB2312" w:hAnsi="仿宋" w:cs="仿宋" w:hint="eastAsia"/>
          <w:sz w:val="32"/>
          <w:szCs w:val="32"/>
        </w:rPr>
        <w:lastRenderedPageBreak/>
        <w:t>按照学校统一部署，</w:t>
      </w:r>
      <w:r>
        <w:rPr>
          <w:rFonts w:ascii="仿宋_GB2312" w:eastAsia="仿宋_GB2312" w:hAnsi="仿宋" w:cs="仿宋" w:hint="eastAsia"/>
          <w:sz w:val="32"/>
          <w:szCs w:val="32"/>
        </w:rPr>
        <w:t>学院每年评选出两位“毕业生就业创业工作先进个人”，以此勉励研究生导师和相关教学管理人员为学生就业发展提供指导与服务。在重视学生就业导向下，我院立足学科优势抓就业升学，引导学生树立正确的就业择业观，近年来研究生就业率稳定在</w:t>
      </w:r>
      <w:r>
        <w:rPr>
          <w:rFonts w:ascii="仿宋_GB2312" w:eastAsia="仿宋_GB2312" w:hAnsi="仿宋" w:cs="仿宋" w:hint="eastAsia"/>
          <w:sz w:val="32"/>
          <w:szCs w:val="32"/>
        </w:rPr>
        <w:t xml:space="preserve"> 98%</w:t>
      </w:r>
      <w:r>
        <w:rPr>
          <w:rFonts w:ascii="仿宋_GB2312" w:eastAsia="仿宋_GB2312" w:hAnsi="仿宋" w:cs="仿宋" w:hint="eastAsia"/>
          <w:sz w:val="32"/>
          <w:szCs w:val="32"/>
        </w:rPr>
        <w:t>左右，为行政事业单位、社会团体和企业输送出一批优秀人才。</w:t>
      </w:r>
    </w:p>
    <w:p w:rsidR="000C137F" w:rsidRDefault="00BB2B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二、工作特色与成效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体现本学位授权点的特色和人才培养水平，包含制度建设、立德树人、科教融合、产教融合、文化建设、质量保障体系建设等方面的工作举措和成效。</w:t>
      </w:r>
    </w:p>
    <w:p w:rsidR="000C137F" w:rsidRDefault="00BB2B6A">
      <w:pPr>
        <w:spacing w:line="600" w:lineRule="exact"/>
        <w:ind w:firstLineChars="200" w:firstLine="640"/>
        <w:rPr>
          <w:rFonts w:ascii="Times New Roman" w:eastAsia="楷体_GB2312" w:hAnsi="Times New Roman"/>
          <w:bCs/>
          <w:color w:val="000000"/>
          <w:kern w:val="0"/>
          <w:sz w:val="32"/>
          <w:szCs w:val="32"/>
        </w:rPr>
      </w:pPr>
      <w:r>
        <w:rPr>
          <w:rFonts w:ascii="Times New Roman" w:eastAsia="楷体_GB2312" w:hAnsi="Times New Roman" w:hint="eastAsia"/>
          <w:bCs/>
          <w:color w:val="000000"/>
          <w:kern w:val="0"/>
          <w:sz w:val="32"/>
          <w:szCs w:val="32"/>
        </w:rPr>
        <w:t>（一）学位点建设特色及成效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学科特色：①地域资源独特。丰厚的红色文化资源、海峡两岸资源、为学科提供独特的滋养。②学术平台宽厚。福建省马克思主义中国化研究基地、共青团中央中国特色社会主义研究中心基地、教育部思想政治理论课教师研修基地等，为学科发展提供支撑。③研究视角鲜明。作为农林高校的马克思主义理论学科，我们形成了“新民主主义革命时期党的思想建设史”、“城乡融合发展研究”、“青年思想政治教育研究”等方面特色鲜明。</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依托本学科特色，本学位点建设方面注重“四个结合”，取得了一定成效。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注重制度建设和质量保障体系相结合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学科先后建立健全</w:t>
      </w:r>
      <w:r>
        <w:rPr>
          <w:rFonts w:ascii="仿宋_GB2312" w:eastAsia="仿宋_GB2312" w:hAnsi="仿宋" w:cs="仿宋" w:hint="eastAsia"/>
          <w:sz w:val="32"/>
          <w:szCs w:val="32"/>
        </w:rPr>
        <w:t>了领导工作责任制。加强党对学院工</w:t>
      </w:r>
      <w:r>
        <w:rPr>
          <w:rFonts w:ascii="仿宋_GB2312" w:eastAsia="仿宋_GB2312" w:hAnsi="仿宋" w:cs="仿宋" w:hint="eastAsia"/>
          <w:sz w:val="32"/>
          <w:szCs w:val="32"/>
        </w:rPr>
        <w:lastRenderedPageBreak/>
        <w:t>作全面领导，建立健全学院各项规章制度，把立德树人根本任务落到实处。以《研究生导师指导行为准则》《关于深化新时代教师队伍建设改革的若干意见》及学校相关文件精神不断强化师德建设；建立研究生培养全过程监督评价制度，提高研究生培养的质量。严格把控学位论文开题、中期检查、预答辩、送审、答辩等环节，建立学生自查、导师核查、学院检查全流程监督机制，确保学位论文质量。建立决策咨询支持体系。发挥教授委员会作用，在人才培养目标、培养方案、教学保障、资源共享和管理运行等方面，参与学院重大事项的决策</w:t>
      </w:r>
      <w:r>
        <w:rPr>
          <w:rFonts w:ascii="仿宋_GB2312" w:eastAsia="仿宋_GB2312" w:hAnsi="仿宋" w:cs="仿宋" w:hint="eastAsia"/>
          <w:sz w:val="32"/>
          <w:szCs w:val="32"/>
        </w:rPr>
        <w:t>咨询。完善民主管理监督机制。涉及学院重大原则、重大理念、重大决策、重大改革等问题，都要通过座谈会、研讨会等，充分听取各方面专家、代表意见，提交学院全体教职工充分讨论。这些制度的建立健全为研究生导师的师德师风建设、导师育人水平提升、研究生培养质量等方面都提供了重要保障。</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注重理论宣讲与文化传承相结合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学科始终注重把深入基层宣传党的路线、方针、政策作为建设的基本任务之一，近</w:t>
      </w:r>
      <w:r>
        <w:rPr>
          <w:rFonts w:ascii="仿宋_GB2312" w:eastAsia="仿宋_GB2312" w:hAnsi="仿宋" w:cs="仿宋" w:hint="eastAsia"/>
          <w:sz w:val="32"/>
          <w:szCs w:val="32"/>
        </w:rPr>
        <w:t>2</w:t>
      </w:r>
      <w:r>
        <w:rPr>
          <w:rFonts w:ascii="仿宋_GB2312" w:eastAsia="仿宋_GB2312" w:hAnsi="仿宋" w:cs="仿宋" w:hint="eastAsia"/>
          <w:sz w:val="32"/>
          <w:szCs w:val="32"/>
        </w:rPr>
        <w:t>年来，围绕党的十九届五中全会、习近平总书记“七一”重要讲话、党的十九届六中全会、福建省第十一次党代会等重要会议精神以及党史学习教育等重</w:t>
      </w:r>
      <w:r>
        <w:rPr>
          <w:rFonts w:ascii="仿宋_GB2312" w:eastAsia="仿宋_GB2312" w:hAnsi="仿宋" w:cs="仿宋" w:hint="eastAsia"/>
          <w:sz w:val="32"/>
          <w:szCs w:val="32"/>
        </w:rPr>
        <w:t>大活动，学科骨干教师深入机关、学校、企业、社区、乡镇等开展多种形式的宣讲近</w:t>
      </w:r>
      <w:r>
        <w:rPr>
          <w:rFonts w:ascii="仿宋_GB2312" w:eastAsia="仿宋_GB2312" w:hAnsi="仿宋" w:cs="仿宋" w:hint="eastAsia"/>
          <w:sz w:val="32"/>
          <w:szCs w:val="32"/>
        </w:rPr>
        <w:t>100</w:t>
      </w:r>
      <w:r>
        <w:rPr>
          <w:rFonts w:ascii="仿宋_GB2312" w:eastAsia="仿宋_GB2312" w:hAnsi="仿宋" w:cs="仿宋" w:hint="eastAsia"/>
          <w:sz w:val="32"/>
          <w:szCs w:val="32"/>
        </w:rPr>
        <w:t>场，不仅宣传了党的创新理论，推进党的创新理论进基层、进大学生头脑。同时在宣</w:t>
      </w:r>
      <w:r>
        <w:rPr>
          <w:rFonts w:ascii="仿宋_GB2312" w:eastAsia="仿宋_GB2312" w:hAnsi="仿宋" w:cs="仿宋" w:hint="eastAsia"/>
          <w:sz w:val="32"/>
          <w:szCs w:val="32"/>
        </w:rPr>
        <w:lastRenderedPageBreak/>
        <w:t>讲中注意与地域特色相结合，尤其是将具有福建地域特色的历史、文化等融入课堂，讲好中国故事，讲好福建故事，营造了良好的文化氛围。</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注重科教融合和产教融合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学科创新协同育人机制，推进院校内外优质资源转换为人才培养资源和优势，积极组织开展产教融合、科教融合。近两年来，产学合作协同无论在数量上还是质量上都实现了快速发展，共获批</w:t>
      </w:r>
      <w:r>
        <w:rPr>
          <w:rFonts w:ascii="仿宋_GB2312" w:eastAsia="仿宋_GB2312" w:hAnsi="仿宋" w:cs="仿宋" w:hint="eastAsia"/>
          <w:sz w:val="32"/>
          <w:szCs w:val="32"/>
        </w:rPr>
        <w:t>3</w:t>
      </w:r>
      <w:r>
        <w:rPr>
          <w:rFonts w:ascii="仿宋_GB2312" w:eastAsia="仿宋_GB2312" w:hAnsi="仿宋" w:cs="仿宋" w:hint="eastAsia"/>
          <w:sz w:val="32"/>
          <w:szCs w:val="32"/>
        </w:rPr>
        <w:t>项教育部产学合作协同育人项目；与智</w:t>
      </w:r>
      <w:r>
        <w:rPr>
          <w:rFonts w:ascii="仿宋_GB2312" w:eastAsia="仿宋_GB2312" w:hAnsi="仿宋" w:cs="仿宋" w:hint="eastAsia"/>
          <w:sz w:val="32"/>
          <w:szCs w:val="32"/>
        </w:rPr>
        <w:t>恒科技股份有限公司、中国太平洋保险福建分公司开展了校地党建共建学习交流活动并洽谈校企产学研合作具体事宜；与福建省革命历史纪念馆、福建省永泰县同安镇人民政府完成教学科研实践基地共建，初步打造了多主体协同育人的长效机制，构建了产教融合、科教融合、校企合作的良好生态。</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注重教师研修的理论、教学、实践相结合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拥有全国高校思想政治理论课骨干教师社会实践研修基地，近年来我们不断优化基地建设格局，形成理论研修、教学研修、实践研修并重的全方位、立体化教师研修基地建设体系，进一步丰富思政课教师研修内容和形式，满足新时</w:t>
      </w:r>
      <w:r>
        <w:rPr>
          <w:rFonts w:ascii="仿宋_GB2312" w:eastAsia="仿宋_GB2312" w:hAnsi="仿宋" w:cs="仿宋" w:hint="eastAsia"/>
          <w:sz w:val="32"/>
          <w:szCs w:val="32"/>
        </w:rPr>
        <w:t>代思政课教师队伍建设需求，对暑期骨干教师进行培训服务，通过深入挖掘福建的红色革命文化资源、绿色生态资源、蓝色海洋资源、传统文化资源等，重点打造了五大具有福建地方特色、体现国家经济社会发展的现场教学点。近两年来，承办了教育部、各高校委托的培训活动，为来自</w:t>
      </w:r>
      <w:r>
        <w:rPr>
          <w:rFonts w:ascii="仿宋_GB2312" w:eastAsia="仿宋_GB2312" w:hAnsi="仿宋" w:cs="仿宋" w:hint="eastAsia"/>
          <w:sz w:val="32"/>
          <w:szCs w:val="32"/>
        </w:rPr>
        <w:t>100</w:t>
      </w:r>
      <w:r>
        <w:rPr>
          <w:rFonts w:ascii="仿宋_GB2312" w:eastAsia="仿宋_GB2312" w:hAnsi="仿宋" w:cs="仿宋" w:hint="eastAsia"/>
          <w:sz w:val="32"/>
          <w:szCs w:val="32"/>
        </w:rPr>
        <w:lastRenderedPageBreak/>
        <w:t>多所高校</w:t>
      </w:r>
      <w:r>
        <w:rPr>
          <w:rFonts w:ascii="仿宋_GB2312" w:eastAsia="仿宋_GB2312" w:hAnsi="仿宋" w:cs="仿宋" w:hint="eastAsia"/>
          <w:sz w:val="32"/>
          <w:szCs w:val="32"/>
        </w:rPr>
        <w:t>200</w:t>
      </w:r>
      <w:r>
        <w:rPr>
          <w:rFonts w:ascii="仿宋_GB2312" w:eastAsia="仿宋_GB2312" w:hAnsi="仿宋" w:cs="仿宋" w:hint="eastAsia"/>
          <w:sz w:val="32"/>
          <w:szCs w:val="32"/>
        </w:rPr>
        <w:t>多名思政课教师提供研修，产生广泛影响。</w:t>
      </w:r>
    </w:p>
    <w:p w:rsidR="000C137F" w:rsidRDefault="00BB2B6A">
      <w:pPr>
        <w:spacing w:line="600" w:lineRule="exact"/>
        <w:ind w:firstLineChars="200" w:firstLine="640"/>
        <w:rPr>
          <w:rFonts w:ascii="Times New Roman" w:eastAsia="楷体_GB2312" w:hAnsi="Times New Roman"/>
          <w:bCs/>
          <w:color w:val="000000"/>
          <w:kern w:val="0"/>
          <w:sz w:val="32"/>
          <w:szCs w:val="32"/>
        </w:rPr>
      </w:pPr>
      <w:r>
        <w:rPr>
          <w:rFonts w:ascii="Times New Roman" w:eastAsia="楷体_GB2312" w:hAnsi="Times New Roman" w:hint="eastAsia"/>
          <w:bCs/>
          <w:color w:val="000000"/>
          <w:kern w:val="0"/>
          <w:sz w:val="32"/>
          <w:szCs w:val="32"/>
        </w:rPr>
        <w:t>（二）人才培养的特色及成效</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学科认真贯彻落实全国高校思想政治工作会议、全国教育大会和全国、全省研究生教育会议精神，落实立德树人根本任务，以学科建设为统领，服务国家和社会对理论创新人才和培育涉农领域高层次理论人才的需要，构建研究生思想政治教育“三全育人”格局，全面提高研究生培养质量。</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、引领研究生参与项目研究，提升应用型创新人才培养质量</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依托“全国高校思想政治理论课骨干教师社会实践研修基地”“共青团中央中国特色社会主义研究中心基地”“大学生乐商提升研究中心”等科研平台；通过设立优硕基金、研究生科研创新基金，引导学生早进课题、早进</w:t>
      </w:r>
      <w:r>
        <w:rPr>
          <w:rFonts w:ascii="仿宋_GB2312" w:eastAsia="仿宋_GB2312" w:hAnsi="仿宋" w:cs="仿宋" w:hint="eastAsia"/>
          <w:sz w:val="32"/>
          <w:szCs w:val="32"/>
        </w:rPr>
        <w:t>团队，将科研平台变为人才培养的平台，把“科学研究的密度”转化为“教学创新的浓度”，引导学生广泛参与科研项目，激发学生的学术志趣，培养学生批判性思维和研究精神，提升人才培养质量。</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利用暑期社会实践，引导学生树立服务基层的思想意识</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以社会实践培养研究精神和实践能力，推动思政课实践教学与学生社会实践活动、志愿服务活动结合，思政小课堂和社会大课堂结合。出台了《马克思主义学院研究生进行暑期调研的实施方案》等文件。近年来，研究生利用暑假</w:t>
      </w:r>
      <w:r>
        <w:rPr>
          <w:rFonts w:ascii="仿宋_GB2312" w:eastAsia="仿宋_GB2312" w:hAnsi="仿宋" w:cs="仿宋" w:hint="eastAsia"/>
          <w:sz w:val="32"/>
          <w:szCs w:val="32"/>
        </w:rPr>
        <w:lastRenderedPageBreak/>
        <w:t>随导师就基层党的思想建设、乡村振兴、福建红色文化等开展深入社会调研，形成了</w:t>
      </w:r>
      <w:r>
        <w:rPr>
          <w:rFonts w:ascii="仿宋_GB2312" w:eastAsia="仿宋_GB2312" w:hAnsi="仿宋" w:cs="仿宋" w:hint="eastAsia"/>
          <w:sz w:val="32"/>
          <w:szCs w:val="32"/>
        </w:rPr>
        <w:t>6</w:t>
      </w:r>
      <w:r>
        <w:rPr>
          <w:rFonts w:ascii="仿宋_GB2312" w:eastAsia="仿宋_GB2312" w:hAnsi="仿宋" w:cs="仿宋" w:hint="eastAsia"/>
          <w:sz w:val="32"/>
          <w:szCs w:val="32"/>
        </w:rPr>
        <w:t>0</w:t>
      </w:r>
      <w:r>
        <w:rPr>
          <w:rFonts w:ascii="仿宋_GB2312" w:eastAsia="仿宋_GB2312" w:hAnsi="仿宋" w:cs="仿宋" w:hint="eastAsia"/>
          <w:sz w:val="32"/>
          <w:szCs w:val="32"/>
        </w:rPr>
        <w:t>多篇调研报告和</w:t>
      </w:r>
      <w:r>
        <w:rPr>
          <w:rFonts w:ascii="仿宋_GB2312" w:eastAsia="仿宋_GB2312" w:hAnsi="仿宋" w:cs="仿宋" w:hint="eastAsia"/>
          <w:sz w:val="32"/>
          <w:szCs w:val="32"/>
        </w:rPr>
        <w:t>6</w:t>
      </w:r>
      <w:r>
        <w:rPr>
          <w:rFonts w:ascii="仿宋_GB2312" w:eastAsia="仿宋_GB2312" w:hAnsi="仿宋" w:cs="仿宋" w:hint="eastAsia"/>
          <w:sz w:val="32"/>
          <w:szCs w:val="32"/>
        </w:rPr>
        <w:t>册成果汇编，引导学生树立服务基层的思想意识。</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借助读书社、思想者沙龙、知识竞赛活动载体，培养和提升研究生实践创新能力</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学科建有福建省高校思想政治理论课教学名师工作室</w:t>
      </w:r>
      <w:r>
        <w:rPr>
          <w:rFonts w:ascii="仿宋_GB2312" w:eastAsia="仿宋_GB2312" w:hAnsi="仿宋" w:cs="仿宋" w:hint="eastAsia"/>
          <w:sz w:val="32"/>
          <w:szCs w:val="32"/>
        </w:rPr>
        <w:t>2</w:t>
      </w:r>
      <w:r>
        <w:rPr>
          <w:rFonts w:ascii="仿宋_GB2312" w:eastAsia="仿宋_GB2312" w:hAnsi="仿宋" w:cs="仿宋" w:hint="eastAsia"/>
          <w:sz w:val="32"/>
          <w:szCs w:val="32"/>
        </w:rPr>
        <w:t>个，建有福建省高校重点马克思主义理论读书社</w:t>
      </w:r>
      <w:r>
        <w:rPr>
          <w:rFonts w:ascii="仿宋_GB2312" w:eastAsia="仿宋_GB2312" w:hAnsi="仿宋" w:cs="仿宋" w:hint="eastAsia"/>
          <w:sz w:val="32"/>
          <w:szCs w:val="32"/>
        </w:rPr>
        <w:t>2</w:t>
      </w:r>
      <w:r>
        <w:rPr>
          <w:rFonts w:ascii="仿宋_GB2312" w:eastAsia="仿宋_GB2312" w:hAnsi="仿宋" w:cs="仿宋" w:hint="eastAsia"/>
          <w:sz w:val="32"/>
          <w:szCs w:val="32"/>
        </w:rPr>
        <w:t>个，建有</w:t>
      </w:r>
      <w:r>
        <w:rPr>
          <w:rFonts w:ascii="仿宋_GB2312" w:eastAsia="仿宋_GB2312" w:hAnsi="仿宋" w:cs="仿宋" w:hint="eastAsia"/>
          <w:sz w:val="32"/>
          <w:szCs w:val="32"/>
        </w:rPr>
        <w:t>12</w:t>
      </w:r>
      <w:r>
        <w:rPr>
          <w:rFonts w:ascii="仿宋_GB2312" w:eastAsia="仿宋_GB2312" w:hAnsi="仿宋" w:cs="仿宋" w:hint="eastAsia"/>
          <w:sz w:val="32"/>
          <w:szCs w:val="32"/>
        </w:rPr>
        <w:t>门人文素质公选课程。近两年来，本学科通过名师工作室、读书社、思想者沙龙、公选课等平台，开设讲座、读书会、学习论坛等</w:t>
      </w:r>
      <w:r>
        <w:rPr>
          <w:rFonts w:ascii="仿宋_GB2312" w:eastAsia="仿宋_GB2312" w:hAnsi="仿宋" w:cs="仿宋" w:hint="eastAsia"/>
          <w:sz w:val="32"/>
          <w:szCs w:val="32"/>
        </w:rPr>
        <w:t>40</w:t>
      </w:r>
      <w:r>
        <w:rPr>
          <w:rFonts w:ascii="仿宋_GB2312" w:eastAsia="仿宋_GB2312" w:hAnsi="仿宋" w:cs="仿宋" w:hint="eastAsia"/>
          <w:sz w:val="32"/>
          <w:szCs w:val="32"/>
        </w:rPr>
        <w:t>余场，形成读书和调研笔记</w:t>
      </w:r>
      <w:r>
        <w:rPr>
          <w:rFonts w:ascii="仿宋_GB2312" w:eastAsia="仿宋_GB2312" w:hAnsi="仿宋" w:cs="仿宋" w:hint="eastAsia"/>
          <w:sz w:val="32"/>
          <w:szCs w:val="32"/>
        </w:rPr>
        <w:t>100</w:t>
      </w:r>
      <w:r>
        <w:rPr>
          <w:rFonts w:ascii="仿宋_GB2312" w:eastAsia="仿宋_GB2312" w:hAnsi="仿宋" w:cs="仿宋" w:hint="eastAsia"/>
          <w:sz w:val="32"/>
          <w:szCs w:val="32"/>
        </w:rPr>
        <w:t>多篇。学科定期开展马克思主义理论读书、讨论、竞赛活动，以推动研究生理论知识的深化和拓展，厚实学生的理论基础。</w:t>
      </w:r>
    </w:p>
    <w:p w:rsidR="000C137F" w:rsidRDefault="00BB2B6A">
      <w:pPr>
        <w:numPr>
          <w:ilvl w:val="0"/>
          <w:numId w:val="2"/>
        </w:num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学位点建设</w:t>
      </w:r>
      <w:r>
        <w:rPr>
          <w:rFonts w:ascii="黑体" w:eastAsia="黑体" w:hAnsi="黑体" w:cs="黑体" w:hint="eastAsia"/>
          <w:bCs/>
          <w:sz w:val="32"/>
          <w:szCs w:val="32"/>
        </w:rPr>
        <w:t>存在的问题</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作为一所省属农林高校的马克思主义学院，在全国高校都高度重视马克思主义学院建设的形势下，学位点在教师队伍内涵式发展、高层次人才和团队引进、服务保障体系建设等方面，与“双一流”院校和对标院校比较，还存在一些困难：（一）教师队伍内涵式发展不足，职称晋升学历提升压力大；学位点的发展潜力和后备力量还有待于进一步充实提升。（二）面对马克思主义理论学科建设蓬勃发展的背景和趋势，全国高校对马学科高层次人才的需求持续高位运行，我校作为省属农林类院校且未设置马克思主义理论一级博士点，在领军人才和优秀博士的引进和培育</w:t>
      </w:r>
      <w:r>
        <w:rPr>
          <w:rFonts w:ascii="仿宋_GB2312" w:eastAsia="仿宋_GB2312" w:hAnsi="仿宋" w:cs="仿宋" w:hint="eastAsia"/>
          <w:sz w:val="32"/>
          <w:szCs w:val="32"/>
        </w:rPr>
        <w:t>方面存在劣势和</w:t>
      </w:r>
      <w:r>
        <w:rPr>
          <w:rFonts w:ascii="仿宋_GB2312" w:eastAsia="仿宋_GB2312" w:hAnsi="仿宋" w:cs="仿宋" w:hint="eastAsia"/>
          <w:sz w:val="32"/>
          <w:szCs w:val="32"/>
        </w:rPr>
        <w:lastRenderedPageBreak/>
        <w:t>短板。</w:t>
      </w:r>
    </w:p>
    <w:p w:rsidR="000C137F" w:rsidRDefault="00BB2B6A">
      <w:pPr>
        <w:numPr>
          <w:ilvl w:val="0"/>
          <w:numId w:val="2"/>
        </w:num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下一年度建设计划</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位点将坚持正确方向、坚持铸魂育人、坚持守正创新、坚持系统谋划，积极探索马克思主义理论教育教学规律、学科发展规律和人才培养规律，重点围绕高层次人才引进、青年教师学历及科研教学能力提升、学科团队建设和研究生人才培养等方面加快推进学位点内涵式建设。</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（一）学科水平。通过进一步优化学科布局、规范学科建设，不断提升学位点建设水平。争取在全省率先设置党的建设二级学科并在</w:t>
      </w:r>
      <w:r>
        <w:rPr>
          <w:rFonts w:ascii="仿宋_GB2312" w:eastAsia="仿宋_GB2312" w:hAnsi="仿宋" w:cs="仿宋" w:hint="eastAsia"/>
          <w:sz w:val="32"/>
          <w:szCs w:val="32"/>
        </w:rPr>
        <w:t>2023</w:t>
      </w:r>
      <w:r>
        <w:rPr>
          <w:rFonts w:ascii="仿宋_GB2312" w:eastAsia="仿宋_GB2312" w:hAnsi="仿宋" w:cs="仿宋" w:hint="eastAsia"/>
          <w:sz w:val="32"/>
          <w:szCs w:val="32"/>
        </w:rPr>
        <w:t>年前招生，在马克思主义理论一级学科博士点，或在学校相关博士点中寻找与马克思主义理论相关的博士专业方向生</w:t>
      </w:r>
      <w:r>
        <w:rPr>
          <w:rFonts w:ascii="仿宋_GB2312" w:eastAsia="仿宋_GB2312" w:hAnsi="仿宋" w:cs="仿宋" w:hint="eastAsia"/>
          <w:sz w:val="32"/>
          <w:szCs w:val="32"/>
        </w:rPr>
        <w:t>长点。</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教师队伍。通过外引和内培相结合，打造一支教学效果好、科研能力强的教师队伍，大幅度改善师资队伍结构。通过推动省级重点马院内涵式发展，实施教师博士学历提升、科研项目培育、教学分类指导、院内学术沙龙、国内访学研修和新教师导师制等一揽子计划，每年引进</w:t>
      </w:r>
      <w:r>
        <w:rPr>
          <w:rFonts w:ascii="仿宋_GB2312" w:eastAsia="仿宋_GB2312" w:hAnsi="仿宋" w:cs="仿宋" w:hint="eastAsia"/>
          <w:sz w:val="32"/>
          <w:szCs w:val="32"/>
        </w:rPr>
        <w:t>2-3</w:t>
      </w:r>
      <w:r>
        <w:rPr>
          <w:rFonts w:ascii="仿宋_GB2312" w:eastAsia="仿宋_GB2312" w:hAnsi="仿宋" w:cs="仿宋" w:hint="eastAsia"/>
          <w:sz w:val="32"/>
          <w:szCs w:val="32"/>
        </w:rPr>
        <w:t>领军人才或优秀博士，新增高级职称教师</w:t>
      </w:r>
      <w:r>
        <w:rPr>
          <w:rFonts w:ascii="仿宋_GB2312" w:eastAsia="仿宋_GB2312" w:hAnsi="仿宋" w:cs="仿宋" w:hint="eastAsia"/>
          <w:sz w:val="32"/>
          <w:szCs w:val="32"/>
        </w:rPr>
        <w:t>15-18</w:t>
      </w:r>
      <w:r>
        <w:rPr>
          <w:rFonts w:ascii="仿宋_GB2312" w:eastAsia="仿宋_GB2312" w:hAnsi="仿宋" w:cs="仿宋" w:hint="eastAsia"/>
          <w:sz w:val="32"/>
          <w:szCs w:val="32"/>
        </w:rPr>
        <w:t>人，其中正高级职称</w:t>
      </w:r>
      <w:r>
        <w:rPr>
          <w:rFonts w:ascii="仿宋_GB2312" w:eastAsia="仿宋_GB2312" w:hAnsi="仿宋" w:cs="仿宋" w:hint="eastAsia"/>
          <w:sz w:val="32"/>
          <w:szCs w:val="32"/>
        </w:rPr>
        <w:t>5</w:t>
      </w:r>
      <w:r>
        <w:rPr>
          <w:rFonts w:ascii="仿宋_GB2312" w:eastAsia="仿宋_GB2312" w:hAnsi="仿宋" w:cs="仿宋" w:hint="eastAsia"/>
          <w:sz w:val="32"/>
          <w:szCs w:val="32"/>
        </w:rPr>
        <w:t>人以上；每年支持推动</w:t>
      </w:r>
      <w:r>
        <w:rPr>
          <w:rFonts w:ascii="仿宋_GB2312" w:eastAsia="仿宋_GB2312" w:hAnsi="仿宋" w:cs="仿宋" w:hint="eastAsia"/>
          <w:sz w:val="32"/>
          <w:szCs w:val="32"/>
        </w:rPr>
        <w:t>2-5</w:t>
      </w:r>
      <w:r>
        <w:rPr>
          <w:rFonts w:ascii="仿宋_GB2312" w:eastAsia="仿宋_GB2312" w:hAnsi="仿宋" w:cs="仿宋" w:hint="eastAsia"/>
          <w:sz w:val="32"/>
          <w:szCs w:val="32"/>
        </w:rPr>
        <w:t>名教师攻读博士学位，师资结构中的博士比例提高到</w:t>
      </w:r>
      <w:r>
        <w:rPr>
          <w:rFonts w:ascii="仿宋_GB2312" w:eastAsia="仿宋_GB2312" w:hAnsi="仿宋" w:cs="仿宋" w:hint="eastAsia"/>
          <w:sz w:val="32"/>
          <w:szCs w:val="32"/>
        </w:rPr>
        <w:t>35%</w:t>
      </w:r>
      <w:r>
        <w:rPr>
          <w:rFonts w:ascii="仿宋_GB2312" w:eastAsia="仿宋_GB2312" w:hAnsi="仿宋" w:cs="仿宋" w:hint="eastAsia"/>
          <w:sz w:val="32"/>
          <w:szCs w:val="32"/>
        </w:rPr>
        <w:t>以上。</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（三）科研实力。进一步加快学位点内涵式发展，发挥已有的平台基地优势。十四五期间，争取在国家社科基金上立项</w:t>
      </w:r>
      <w:r>
        <w:rPr>
          <w:rFonts w:ascii="仿宋_GB2312" w:eastAsia="仿宋_GB2312" w:hAnsi="仿宋" w:cs="仿宋" w:hint="eastAsia"/>
          <w:sz w:val="32"/>
          <w:szCs w:val="32"/>
        </w:rPr>
        <w:t>5-10</w:t>
      </w:r>
      <w:r>
        <w:rPr>
          <w:rFonts w:ascii="仿宋_GB2312" w:eastAsia="仿宋_GB2312" w:hAnsi="仿宋" w:cs="仿宋" w:hint="eastAsia"/>
          <w:sz w:val="32"/>
          <w:szCs w:val="32"/>
        </w:rPr>
        <w:t>项，在国家社科基金重点项目上有所突破，在教</w:t>
      </w:r>
      <w:r>
        <w:rPr>
          <w:rFonts w:ascii="仿宋_GB2312" w:eastAsia="仿宋_GB2312" w:hAnsi="仿宋" w:cs="仿宋" w:hint="eastAsia"/>
          <w:sz w:val="32"/>
          <w:szCs w:val="32"/>
        </w:rPr>
        <w:lastRenderedPageBreak/>
        <w:t>育部人文社科项目、“三报一刊”等权威期刊上实现更高产出。积极探索适合本学院学科建设的智库建设模式，在咨政谏言方面产出一批有影响的成果，服务于福建省经济社会发展。</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人才培养。通过实施研究生人才培养质量提升“五大计划”，即设立研究生科研基金项目支持计划、研究生优秀学位论文院级培育计划、研究生思政教学能力提升计划、研究生优秀学术论文支持计划和研究生学术交流</w:t>
      </w:r>
      <w:r>
        <w:rPr>
          <w:rFonts w:ascii="仿宋_GB2312" w:eastAsia="仿宋_GB2312" w:hAnsi="仿宋" w:cs="仿宋" w:hint="eastAsia"/>
          <w:sz w:val="32"/>
          <w:szCs w:val="32"/>
        </w:rPr>
        <w:t>支持计划等，在马克思主义理论后备人才培养上取得新进展。</w:t>
      </w:r>
    </w:p>
    <w:p w:rsidR="000C137F" w:rsidRDefault="00BB2B6A">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（五）社会服务。学位点建有</w:t>
      </w:r>
      <w:r>
        <w:rPr>
          <w:rFonts w:ascii="仿宋_GB2312" w:eastAsia="仿宋_GB2312" w:hAnsi="仿宋" w:cs="仿宋" w:hint="eastAsia"/>
          <w:sz w:val="32"/>
          <w:szCs w:val="32"/>
        </w:rPr>
        <w:t>12</w:t>
      </w:r>
      <w:r>
        <w:rPr>
          <w:rFonts w:ascii="仿宋_GB2312" w:eastAsia="仿宋_GB2312" w:hAnsi="仿宋" w:cs="仿宋" w:hint="eastAsia"/>
          <w:sz w:val="32"/>
          <w:szCs w:val="32"/>
        </w:rPr>
        <w:t>门人文素质公选课程；其中《名人与近代中国》为国家一流本科线上课程，《走近哲学大师》等</w:t>
      </w:r>
      <w:r>
        <w:rPr>
          <w:rFonts w:ascii="仿宋_GB2312" w:eastAsia="仿宋_GB2312" w:hAnsi="仿宋" w:cs="仿宋" w:hint="eastAsia"/>
          <w:sz w:val="32"/>
          <w:szCs w:val="32"/>
        </w:rPr>
        <w:t>4</w:t>
      </w:r>
      <w:r>
        <w:rPr>
          <w:rFonts w:ascii="仿宋_GB2312" w:eastAsia="仿宋_GB2312" w:hAnsi="仿宋" w:cs="仿宋" w:hint="eastAsia"/>
          <w:sz w:val="32"/>
          <w:szCs w:val="32"/>
        </w:rPr>
        <w:t>门为省级一流本科线上课程，《国情与法律教育（港澳台学生国情教育专项）》为省级线下一流本科课程。服务党的创新理论宣讲，开展党的重要会议和重大活动宣讲；近</w:t>
      </w:r>
      <w:r>
        <w:rPr>
          <w:rFonts w:ascii="仿宋_GB2312" w:eastAsia="仿宋_GB2312" w:hAnsi="仿宋" w:cs="仿宋" w:hint="eastAsia"/>
          <w:sz w:val="32"/>
          <w:szCs w:val="32"/>
        </w:rPr>
        <w:t>3</w:t>
      </w:r>
      <w:r>
        <w:rPr>
          <w:rFonts w:ascii="仿宋_GB2312" w:eastAsia="仿宋_GB2312" w:hAnsi="仿宋" w:cs="仿宋" w:hint="eastAsia"/>
          <w:sz w:val="32"/>
          <w:szCs w:val="32"/>
        </w:rPr>
        <w:t>年，深入福建各地市，进机关、企业、学校、社区、军营等开展宣讲</w:t>
      </w:r>
      <w:r>
        <w:rPr>
          <w:rFonts w:ascii="仿宋_GB2312" w:eastAsia="仿宋_GB2312" w:hAnsi="仿宋" w:cs="仿宋" w:hint="eastAsia"/>
          <w:sz w:val="32"/>
          <w:szCs w:val="32"/>
        </w:rPr>
        <w:t>100</w:t>
      </w:r>
      <w:r>
        <w:rPr>
          <w:rFonts w:ascii="仿宋_GB2312" w:eastAsia="仿宋_GB2312" w:hAnsi="仿宋" w:cs="仿宋" w:hint="eastAsia"/>
          <w:sz w:val="32"/>
          <w:szCs w:val="32"/>
        </w:rPr>
        <w:t>余场，相关成果分别被省委宣传部及中宣部采用。学科围绕农业农村发展问题，建立决策咨询、实践研修、理论宣讲等方面的社会服务体系</w:t>
      </w:r>
      <w:r>
        <w:rPr>
          <w:rFonts w:ascii="仿宋_GB2312" w:eastAsia="仿宋_GB2312" w:hAnsi="仿宋" w:cs="仿宋" w:hint="eastAsia"/>
          <w:sz w:val="32"/>
          <w:szCs w:val="32"/>
        </w:rPr>
        <w:t>，为共青团工作、乡村振兴等建言献策；</w:t>
      </w:r>
      <w:r>
        <w:rPr>
          <w:rFonts w:ascii="仿宋_GB2312" w:eastAsia="仿宋_GB2312" w:hAnsi="仿宋" w:cs="仿宋" w:hint="eastAsia"/>
          <w:sz w:val="32"/>
          <w:szCs w:val="32"/>
        </w:rPr>
        <w:t>5</w:t>
      </w:r>
      <w:r>
        <w:rPr>
          <w:rFonts w:ascii="仿宋_GB2312" w:eastAsia="仿宋_GB2312" w:hAnsi="仿宋" w:cs="仿宋" w:hint="eastAsia"/>
          <w:sz w:val="32"/>
          <w:szCs w:val="32"/>
        </w:rPr>
        <w:t>项咨政报告获福建省政协、省委以及国务院办公厅、乃至国家领导人肯定性批示。依托学位点建设的全国高校思想政治理论课骨干教师社会实践研修基地是福建省唯一入选的首批全国高校思想政治理论课教师社会实践研修基地，承接了教育部、中宣部的各类暑期实践</w:t>
      </w:r>
      <w:r>
        <w:rPr>
          <w:rFonts w:ascii="仿宋_GB2312" w:eastAsia="仿宋_GB2312" w:hAnsi="仿宋" w:cs="仿宋" w:hint="eastAsia"/>
          <w:sz w:val="32"/>
          <w:szCs w:val="32"/>
        </w:rPr>
        <w:lastRenderedPageBreak/>
        <w:t>研修服务。截止</w:t>
      </w:r>
      <w:r>
        <w:rPr>
          <w:rFonts w:ascii="仿宋_GB2312" w:eastAsia="仿宋_GB2312" w:hAnsi="仿宋" w:cs="仿宋" w:hint="eastAsia"/>
          <w:sz w:val="32"/>
          <w:szCs w:val="32"/>
        </w:rPr>
        <w:t>2020</w:t>
      </w:r>
      <w:r>
        <w:rPr>
          <w:rFonts w:ascii="仿宋_GB2312" w:eastAsia="仿宋_GB2312" w:hAnsi="仿宋" w:cs="仿宋" w:hint="eastAsia"/>
          <w:sz w:val="32"/>
          <w:szCs w:val="32"/>
        </w:rPr>
        <w:t>年底，已为来自全国各地约</w:t>
      </w:r>
      <w:r>
        <w:rPr>
          <w:rFonts w:ascii="仿宋_GB2312" w:eastAsia="仿宋_GB2312" w:hAnsi="仿宋" w:cs="仿宋" w:hint="eastAsia"/>
          <w:sz w:val="32"/>
          <w:szCs w:val="32"/>
        </w:rPr>
        <w:t>50</w:t>
      </w:r>
      <w:r>
        <w:rPr>
          <w:rFonts w:ascii="仿宋_GB2312" w:eastAsia="仿宋_GB2312" w:hAnsi="仿宋" w:cs="仿宋" w:hint="eastAsia"/>
          <w:sz w:val="32"/>
          <w:szCs w:val="32"/>
        </w:rPr>
        <w:t>多所高校，约</w:t>
      </w:r>
      <w:r>
        <w:rPr>
          <w:rFonts w:ascii="仿宋_GB2312" w:eastAsia="仿宋_GB2312" w:hAnsi="仿宋" w:cs="仿宋" w:hint="eastAsia"/>
          <w:sz w:val="32"/>
          <w:szCs w:val="32"/>
        </w:rPr>
        <w:t>1700</w:t>
      </w:r>
      <w:r>
        <w:rPr>
          <w:rFonts w:ascii="仿宋_GB2312" w:eastAsia="仿宋_GB2312" w:hAnsi="仿宋" w:cs="仿宋" w:hint="eastAsia"/>
          <w:sz w:val="32"/>
          <w:szCs w:val="32"/>
        </w:rPr>
        <w:t>多名教师提供了暑期实践研修培。</w:t>
      </w:r>
    </w:p>
    <w:p w:rsidR="000C137F" w:rsidRDefault="000C137F">
      <w:pPr>
        <w:spacing w:line="600" w:lineRule="exact"/>
        <w:ind w:firstLineChars="200" w:firstLine="640"/>
        <w:rPr>
          <w:rFonts w:ascii="仿宋_GB2312" w:eastAsia="仿宋_GB2312" w:hAnsi="仿宋" w:cs="仿宋"/>
          <w:sz w:val="32"/>
          <w:szCs w:val="32"/>
        </w:rPr>
      </w:pPr>
    </w:p>
    <w:p w:rsidR="000C137F" w:rsidRDefault="000C137F">
      <w:pPr>
        <w:spacing w:line="600" w:lineRule="exact"/>
        <w:ind w:firstLineChars="200" w:firstLine="640"/>
        <w:rPr>
          <w:rFonts w:ascii="仿宋_GB2312" w:eastAsia="仿宋_GB2312" w:hAnsi="仿宋" w:cs="仿宋"/>
          <w:sz w:val="32"/>
          <w:szCs w:val="32"/>
        </w:rPr>
      </w:pPr>
    </w:p>
    <w:p w:rsidR="000C137F" w:rsidRDefault="000C137F">
      <w:pPr>
        <w:spacing w:line="600" w:lineRule="exact"/>
        <w:ind w:firstLineChars="200" w:firstLine="640"/>
        <w:rPr>
          <w:rFonts w:ascii="仿宋_GB2312" w:eastAsia="仿宋_GB2312" w:hAnsi="仿宋" w:cs="仿宋"/>
          <w:sz w:val="32"/>
          <w:szCs w:val="32"/>
        </w:rPr>
      </w:pPr>
    </w:p>
    <w:p w:rsidR="000C137F" w:rsidRDefault="000C137F">
      <w:pPr>
        <w:widowControl/>
        <w:adjustRightInd w:val="0"/>
        <w:snapToGrid w:val="0"/>
        <w:spacing w:line="600" w:lineRule="exact"/>
        <w:ind w:left="560"/>
        <w:rPr>
          <w:rFonts w:ascii="Times New Roman" w:eastAsia="方正仿宋简体" w:hAnsi="Times New Roman"/>
          <w:color w:val="000000"/>
          <w:kern w:val="0"/>
          <w:sz w:val="28"/>
          <w:szCs w:val="28"/>
        </w:rPr>
      </w:pPr>
    </w:p>
    <w:p w:rsidR="000C137F" w:rsidRDefault="000C137F">
      <w:pPr>
        <w:widowControl/>
        <w:adjustRightInd w:val="0"/>
        <w:snapToGrid w:val="0"/>
        <w:spacing w:line="600" w:lineRule="exact"/>
        <w:ind w:firstLineChars="200" w:firstLine="560"/>
        <w:textAlignment w:val="center"/>
        <w:rPr>
          <w:rFonts w:ascii="Times New Roman" w:eastAsia="方正仿宋简体" w:hAnsi="Times New Roman"/>
          <w:color w:val="000000"/>
          <w:kern w:val="0"/>
          <w:sz w:val="28"/>
          <w:szCs w:val="28"/>
        </w:rPr>
      </w:pPr>
    </w:p>
    <w:p w:rsidR="000C137F" w:rsidRDefault="000C137F">
      <w:pPr>
        <w:widowControl/>
        <w:adjustRightInd w:val="0"/>
        <w:snapToGrid w:val="0"/>
        <w:spacing w:line="600" w:lineRule="exact"/>
        <w:ind w:left="560"/>
        <w:rPr>
          <w:rFonts w:ascii="Times New Roman" w:eastAsia="方正仿宋简体" w:hAnsi="Times New Roman"/>
          <w:color w:val="000000"/>
          <w:kern w:val="0"/>
          <w:sz w:val="28"/>
          <w:szCs w:val="28"/>
        </w:rPr>
      </w:pPr>
    </w:p>
    <w:p w:rsidR="000C137F" w:rsidRDefault="000C137F">
      <w:pPr>
        <w:widowControl/>
        <w:adjustRightInd w:val="0"/>
        <w:snapToGrid w:val="0"/>
        <w:spacing w:line="600" w:lineRule="exact"/>
        <w:ind w:left="560"/>
        <w:rPr>
          <w:rFonts w:ascii="Times New Roman" w:eastAsia="方正仿宋简体" w:hAnsi="Times New Roman"/>
          <w:color w:val="000000"/>
          <w:kern w:val="0"/>
          <w:sz w:val="28"/>
          <w:szCs w:val="28"/>
        </w:rPr>
      </w:pPr>
    </w:p>
    <w:p w:rsidR="000C137F" w:rsidRDefault="000C137F">
      <w:pPr>
        <w:widowControl/>
        <w:adjustRightInd w:val="0"/>
        <w:snapToGrid w:val="0"/>
        <w:spacing w:line="600" w:lineRule="exact"/>
        <w:ind w:left="560"/>
        <w:rPr>
          <w:rFonts w:ascii="Times New Roman" w:eastAsia="方正仿宋简体" w:hAnsi="Times New Roman"/>
          <w:color w:val="000000"/>
          <w:kern w:val="0"/>
          <w:sz w:val="28"/>
          <w:szCs w:val="28"/>
        </w:rPr>
      </w:pPr>
    </w:p>
    <w:sectPr w:rsidR="000C13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6A" w:rsidRDefault="00BB2B6A">
      <w:r>
        <w:separator/>
      </w:r>
    </w:p>
  </w:endnote>
  <w:endnote w:type="continuationSeparator" w:id="0">
    <w:p w:rsidR="00BB2B6A" w:rsidRDefault="00BB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67615"/>
    </w:sdtPr>
    <w:sdtEndPr/>
    <w:sdtContent>
      <w:p w:rsidR="000C137F" w:rsidRDefault="00BB2B6A">
        <w:pPr>
          <w:pStyle w:val="a3"/>
          <w:jc w:val="center"/>
        </w:pPr>
        <w:r>
          <w:fldChar w:fldCharType="begin"/>
        </w:r>
        <w:r>
          <w:instrText>PAGE   \* MERGEFORMAT</w:instrText>
        </w:r>
        <w:r>
          <w:fldChar w:fldCharType="separate"/>
        </w:r>
        <w:r w:rsidR="00125C17" w:rsidRPr="00125C17">
          <w:rPr>
            <w:noProof/>
            <w:lang w:val="zh-CN"/>
          </w:rPr>
          <w:t>7</w:t>
        </w:r>
        <w:r>
          <w:fldChar w:fldCharType="end"/>
        </w:r>
      </w:p>
    </w:sdtContent>
  </w:sdt>
  <w:p w:rsidR="000C137F" w:rsidRDefault="000C13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6A" w:rsidRDefault="00BB2B6A">
      <w:r>
        <w:separator/>
      </w:r>
    </w:p>
  </w:footnote>
  <w:footnote w:type="continuationSeparator" w:id="0">
    <w:p w:rsidR="00BB2B6A" w:rsidRDefault="00BB2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10987"/>
    <w:multiLevelType w:val="singleLevel"/>
    <w:tmpl w:val="B8D10987"/>
    <w:lvl w:ilvl="0">
      <w:start w:val="3"/>
      <w:numFmt w:val="chineseCounting"/>
      <w:suff w:val="nothing"/>
      <w:lvlText w:val="%1、"/>
      <w:lvlJc w:val="left"/>
      <w:rPr>
        <w:rFonts w:hint="eastAsia"/>
      </w:rPr>
    </w:lvl>
  </w:abstractNum>
  <w:abstractNum w:abstractNumId="1">
    <w:nsid w:val="DD9949AC"/>
    <w:multiLevelType w:val="singleLevel"/>
    <w:tmpl w:val="DD9949A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jMzYTUxNzExNzdmNDhjYTZhOGIyODc4ZjhhYTcifQ=="/>
  </w:docVars>
  <w:rsids>
    <w:rsidRoot w:val="00F51B09"/>
    <w:rsid w:val="B777630F"/>
    <w:rsid w:val="DFFF0DBC"/>
    <w:rsid w:val="00034C7C"/>
    <w:rsid w:val="00041B7B"/>
    <w:rsid w:val="00074EC5"/>
    <w:rsid w:val="000773B0"/>
    <w:rsid w:val="000C137F"/>
    <w:rsid w:val="00125132"/>
    <w:rsid w:val="00125C17"/>
    <w:rsid w:val="001E7632"/>
    <w:rsid w:val="002464D6"/>
    <w:rsid w:val="00277E2F"/>
    <w:rsid w:val="002A5EE5"/>
    <w:rsid w:val="00300204"/>
    <w:rsid w:val="004A43F6"/>
    <w:rsid w:val="004C65B7"/>
    <w:rsid w:val="004F6957"/>
    <w:rsid w:val="00514C95"/>
    <w:rsid w:val="0059524C"/>
    <w:rsid w:val="005D65DC"/>
    <w:rsid w:val="006824D4"/>
    <w:rsid w:val="00714B53"/>
    <w:rsid w:val="008300E1"/>
    <w:rsid w:val="008E48C2"/>
    <w:rsid w:val="00907F3C"/>
    <w:rsid w:val="00972AA3"/>
    <w:rsid w:val="00A227CC"/>
    <w:rsid w:val="00A8716F"/>
    <w:rsid w:val="00AB2B9D"/>
    <w:rsid w:val="00AC4F71"/>
    <w:rsid w:val="00B03E57"/>
    <w:rsid w:val="00B26403"/>
    <w:rsid w:val="00B95233"/>
    <w:rsid w:val="00BB2B6A"/>
    <w:rsid w:val="00BC5E33"/>
    <w:rsid w:val="00BD7985"/>
    <w:rsid w:val="00C475F1"/>
    <w:rsid w:val="00CC0C41"/>
    <w:rsid w:val="00D344DC"/>
    <w:rsid w:val="00D641B7"/>
    <w:rsid w:val="00E419BA"/>
    <w:rsid w:val="00E73905"/>
    <w:rsid w:val="00E834C6"/>
    <w:rsid w:val="00EA1F09"/>
    <w:rsid w:val="00EA4CA9"/>
    <w:rsid w:val="00EB77F4"/>
    <w:rsid w:val="00EC6F0E"/>
    <w:rsid w:val="00ED6529"/>
    <w:rsid w:val="00F51B09"/>
    <w:rsid w:val="072E7E06"/>
    <w:rsid w:val="0A8D5EA4"/>
    <w:rsid w:val="12C3266C"/>
    <w:rsid w:val="16D04116"/>
    <w:rsid w:val="213A41AD"/>
    <w:rsid w:val="271A113C"/>
    <w:rsid w:val="306B790A"/>
    <w:rsid w:val="340622E0"/>
    <w:rsid w:val="375515B4"/>
    <w:rsid w:val="48AD20F3"/>
    <w:rsid w:val="49481CEF"/>
    <w:rsid w:val="4AD615F5"/>
    <w:rsid w:val="4B390976"/>
    <w:rsid w:val="4DAA30D5"/>
    <w:rsid w:val="5082248F"/>
    <w:rsid w:val="50B2610E"/>
    <w:rsid w:val="5187285A"/>
    <w:rsid w:val="544F0ED2"/>
    <w:rsid w:val="57E34B1C"/>
    <w:rsid w:val="5B70400A"/>
    <w:rsid w:val="62D24C3C"/>
    <w:rsid w:val="68742170"/>
    <w:rsid w:val="6D2C753D"/>
    <w:rsid w:val="6F361FE4"/>
    <w:rsid w:val="70105C6D"/>
    <w:rsid w:val="70E66031"/>
    <w:rsid w:val="732D7394"/>
    <w:rsid w:val="750550C7"/>
    <w:rsid w:val="79ED28D7"/>
    <w:rsid w:val="7D2F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kern w:val="2"/>
      <w:sz w:val="21"/>
      <w:szCs w:val="22"/>
    </w:rPr>
  </w:style>
  <w:style w:type="paragraph" w:styleId="2">
    <w:name w:val="heading 2"/>
    <w:basedOn w:val="a"/>
    <w:next w:val="a"/>
    <w:unhideWhenUsed/>
    <w:qFormat/>
    <w:pPr>
      <w:keepNext/>
      <w:keepLines/>
      <w:adjustRightInd w:val="0"/>
      <w:snapToGrid w:val="0"/>
      <w:spacing w:beforeLines="50" w:before="50" w:afterLines="50" w:after="50"/>
      <w:ind w:firstLineChars="200" w:firstLine="200"/>
      <w:outlineLvl w:val="1"/>
    </w:pPr>
    <w:rPr>
      <w:rFonts w:ascii="等线 Light" w:eastAsia="黑体" w:hAnsi="等线 Light"/>
      <w:bCs/>
      <w:sz w:val="32"/>
      <w:szCs w:val="32"/>
    </w:rPr>
  </w:style>
  <w:style w:type="paragraph" w:styleId="3">
    <w:name w:val="heading 3"/>
    <w:basedOn w:val="a"/>
    <w:next w:val="a"/>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1">
    <w:name w:val="列表段落1"/>
    <w:basedOn w:val="a"/>
    <w:uiPriority w:val="34"/>
    <w:qFormat/>
    <w:pPr>
      <w:ind w:firstLineChars="200" w:firstLine="420"/>
    </w:pPr>
  </w:style>
  <w:style w:type="paragraph" w:styleId="a6">
    <w:name w:val="Balloon Text"/>
    <w:basedOn w:val="a"/>
    <w:link w:val="Char1"/>
    <w:rsid w:val="00125C17"/>
    <w:rPr>
      <w:sz w:val="18"/>
      <w:szCs w:val="18"/>
    </w:rPr>
  </w:style>
  <w:style w:type="character" w:customStyle="1" w:styleId="Char1">
    <w:name w:val="批注框文本 Char"/>
    <w:basedOn w:val="a0"/>
    <w:link w:val="a6"/>
    <w:rsid w:val="00125C1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kern w:val="2"/>
      <w:sz w:val="21"/>
      <w:szCs w:val="22"/>
    </w:rPr>
  </w:style>
  <w:style w:type="paragraph" w:styleId="2">
    <w:name w:val="heading 2"/>
    <w:basedOn w:val="a"/>
    <w:next w:val="a"/>
    <w:unhideWhenUsed/>
    <w:qFormat/>
    <w:pPr>
      <w:keepNext/>
      <w:keepLines/>
      <w:adjustRightInd w:val="0"/>
      <w:snapToGrid w:val="0"/>
      <w:spacing w:beforeLines="50" w:before="50" w:afterLines="50" w:after="50"/>
      <w:ind w:firstLineChars="200" w:firstLine="200"/>
      <w:outlineLvl w:val="1"/>
    </w:pPr>
    <w:rPr>
      <w:rFonts w:ascii="等线 Light" w:eastAsia="黑体" w:hAnsi="等线 Light"/>
      <w:bCs/>
      <w:sz w:val="32"/>
      <w:szCs w:val="32"/>
    </w:rPr>
  </w:style>
  <w:style w:type="paragraph" w:styleId="3">
    <w:name w:val="heading 3"/>
    <w:basedOn w:val="a"/>
    <w:next w:val="a"/>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1">
    <w:name w:val="列表段落1"/>
    <w:basedOn w:val="a"/>
    <w:uiPriority w:val="34"/>
    <w:qFormat/>
    <w:pPr>
      <w:ind w:firstLineChars="200" w:firstLine="420"/>
    </w:pPr>
  </w:style>
  <w:style w:type="paragraph" w:styleId="a6">
    <w:name w:val="Balloon Text"/>
    <w:basedOn w:val="a"/>
    <w:link w:val="Char1"/>
    <w:rsid w:val="00125C17"/>
    <w:rPr>
      <w:sz w:val="18"/>
      <w:szCs w:val="18"/>
    </w:rPr>
  </w:style>
  <w:style w:type="character" w:customStyle="1" w:styleId="Char1">
    <w:name w:val="批注框文本 Char"/>
    <w:basedOn w:val="a0"/>
    <w:link w:val="a6"/>
    <w:rsid w:val="00125C1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9191-CD24-4224-88DC-87290403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6261</Words>
  <Characters>6701</Characters>
  <Application>Microsoft Office Word</Application>
  <DocSecurity>0</DocSecurity>
  <Lines>418</Lines>
  <Paragraphs>308</Paragraphs>
  <ScaleCrop>false</ScaleCrop>
  <Company>Microsoft</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HiWin81Up</dc:creator>
  <cp:lastModifiedBy>刘丹玲</cp:lastModifiedBy>
  <cp:revision>10</cp:revision>
  <cp:lastPrinted>2021-12-14T14:39:00Z</cp:lastPrinted>
  <dcterms:created xsi:type="dcterms:W3CDTF">2022-03-09T15:08:00Z</dcterms:created>
  <dcterms:modified xsi:type="dcterms:W3CDTF">2022-09-27T08:40:00Z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5247071888AB45F190409BC38C29F3BF</vt:lpwstr>
  </property>
</Properties>
</file>