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720" w:firstLineChars="200"/>
        <w:jc w:val="center"/>
        <w:rPr>
          <w:rFonts w:ascii="方正小标宋_GBK" w:hAnsi="仿宋" w:eastAsia="方正小标宋_GBK"/>
          <w:sz w:val="36"/>
          <w:szCs w:val="36"/>
        </w:rPr>
      </w:pPr>
      <w:r>
        <w:rPr>
          <w:rFonts w:hint="eastAsia" w:ascii="方正小标宋_GBK" w:hAnsi="仿宋" w:eastAsia="方正小标宋_GBK"/>
          <w:sz w:val="36"/>
          <w:szCs w:val="36"/>
        </w:rPr>
        <w:t>林业专业学位授权点2</w:t>
      </w:r>
      <w:r>
        <w:rPr>
          <w:rFonts w:ascii="方正小标宋_GBK" w:hAnsi="仿宋" w:eastAsia="方正小标宋_GBK"/>
          <w:sz w:val="36"/>
          <w:szCs w:val="36"/>
        </w:rPr>
        <w:t>020</w:t>
      </w:r>
      <w:r>
        <w:rPr>
          <w:rFonts w:hint="eastAsia" w:ascii="方正小标宋_GBK" w:hAnsi="仿宋" w:eastAsia="方正小标宋_GBK"/>
          <w:sz w:val="36"/>
          <w:szCs w:val="36"/>
        </w:rPr>
        <w:t>年度建设报告</w:t>
      </w:r>
    </w:p>
    <w:sdt>
      <w:sdtPr>
        <w:rPr>
          <w:rFonts w:ascii="Times New Roman" w:hAnsi="Times New Roman" w:eastAsia="宋体" w:cs="Times New Roman"/>
          <w:color w:val="auto"/>
          <w:kern w:val="2"/>
          <w:sz w:val="24"/>
          <w:szCs w:val="22"/>
          <w:lang w:val="zh-CN"/>
        </w:rPr>
        <w:id w:val="1466857487"/>
        <w:docPartObj>
          <w:docPartGallery w:val="Table of Contents"/>
          <w:docPartUnique/>
        </w:docPartObj>
      </w:sdtPr>
      <w:sdtEndPr>
        <w:rPr>
          <w:rFonts w:ascii="Times New Roman" w:hAnsi="Times New Roman" w:eastAsia="宋体" w:cs="Times New Roman"/>
          <w:b/>
          <w:bCs/>
          <w:color w:val="auto"/>
          <w:kern w:val="2"/>
          <w:sz w:val="24"/>
          <w:szCs w:val="22"/>
          <w:lang w:val="zh-CN"/>
        </w:rPr>
      </w:sdtEndPr>
      <w:sdtContent>
        <w:p>
          <w:pPr>
            <w:pStyle w:val="20"/>
          </w:pPr>
          <w:r>
            <w:rPr>
              <w:lang w:val="zh-CN"/>
            </w:rPr>
            <w:t>目录</w:t>
          </w:r>
        </w:p>
        <w:p>
          <w:pPr>
            <w:pStyle w:val="9"/>
            <w:tabs>
              <w:tab w:val="right" w:leader="dot" w:pos="8296"/>
            </w:tabs>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"_Toc89106757" </w:instrText>
          </w:r>
          <w:r>
            <w:fldChar w:fldCharType="separate"/>
          </w:r>
          <w:r>
            <w:rPr>
              <w:rStyle w:val="13"/>
            </w:rPr>
            <w:t>一、学位授权点基本情况</w:t>
          </w:r>
          <w:r>
            <w:tab/>
          </w:r>
          <w:r>
            <w:fldChar w:fldCharType="begin"/>
          </w:r>
          <w:r>
            <w:instrText xml:space="preserve"> PAGEREF _Toc89106757 \h </w:instrText>
          </w:r>
          <w:r>
            <w:fldChar w:fldCharType="separate"/>
          </w:r>
          <w:r>
            <w:t>1</w:t>
          </w:r>
          <w:r>
            <w:fldChar w:fldCharType="end"/>
          </w:r>
          <w:r>
            <w:fldChar w:fldCharType="end"/>
          </w:r>
        </w:p>
        <w:p>
          <w:pPr>
            <w:pStyle w:val="10"/>
            <w:tabs>
              <w:tab w:val="right" w:leader="dot" w:pos="8296"/>
            </w:tabs>
            <w:ind w:left="480"/>
            <w:rPr>
              <w:rFonts w:asciiTheme="minorHAnsi" w:hAnsiTheme="minorHAnsi" w:eastAsiaTheme="minorEastAsia" w:cstheme="minorBidi"/>
              <w:sz w:val="21"/>
            </w:rPr>
          </w:pPr>
          <w:r>
            <w:fldChar w:fldCharType="begin"/>
          </w:r>
          <w:r>
            <w:instrText xml:space="preserve"> HYPERLINK \l "_Toc89106758" </w:instrText>
          </w:r>
          <w:r>
            <w:fldChar w:fldCharType="separate"/>
          </w:r>
          <w:r>
            <w:rPr>
              <w:rStyle w:val="13"/>
            </w:rPr>
            <w:t>（一）目标与标准</w:t>
          </w:r>
          <w:r>
            <w:tab/>
          </w:r>
          <w:r>
            <w:fldChar w:fldCharType="begin"/>
          </w:r>
          <w:r>
            <w:instrText xml:space="preserve"> PAGEREF _Toc89106758 \h </w:instrText>
          </w:r>
          <w:r>
            <w:fldChar w:fldCharType="separate"/>
          </w:r>
          <w:r>
            <w:t>2</w:t>
          </w:r>
          <w:r>
            <w:fldChar w:fldCharType="end"/>
          </w:r>
          <w:r>
            <w:fldChar w:fldCharType="end"/>
          </w:r>
        </w:p>
        <w:p>
          <w:pPr>
            <w:pStyle w:val="10"/>
            <w:tabs>
              <w:tab w:val="right" w:leader="dot" w:pos="8296"/>
            </w:tabs>
            <w:ind w:left="480"/>
            <w:rPr>
              <w:rFonts w:asciiTheme="minorHAnsi" w:hAnsiTheme="minorHAnsi" w:eastAsiaTheme="minorEastAsia" w:cstheme="minorBidi"/>
              <w:sz w:val="21"/>
            </w:rPr>
          </w:pPr>
          <w:r>
            <w:fldChar w:fldCharType="begin"/>
          </w:r>
          <w:r>
            <w:instrText xml:space="preserve"> HYPERLINK \l "_Toc89106759" </w:instrText>
          </w:r>
          <w:r>
            <w:fldChar w:fldCharType="separate"/>
          </w:r>
          <w:r>
            <w:rPr>
              <w:rStyle w:val="13"/>
            </w:rPr>
            <w:t>（二）学位点基本条件</w:t>
          </w:r>
          <w:r>
            <w:tab/>
          </w:r>
          <w:r>
            <w:fldChar w:fldCharType="begin"/>
          </w:r>
          <w:r>
            <w:instrText xml:space="preserve"> PAGEREF _Toc89106759 \h </w:instrText>
          </w:r>
          <w:r>
            <w:fldChar w:fldCharType="separate"/>
          </w:r>
          <w:r>
            <w:t>3</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"_Toc89106760" </w:instrText>
          </w:r>
          <w:r>
            <w:fldChar w:fldCharType="separate"/>
          </w:r>
          <w:r>
            <w:rPr>
              <w:rStyle w:val="13"/>
            </w:rPr>
            <w:t>1 培养方向</w:t>
          </w:r>
          <w:r>
            <w:tab/>
          </w:r>
          <w:r>
            <w:fldChar w:fldCharType="begin"/>
          </w:r>
          <w:r>
            <w:instrText xml:space="preserve"> PAGEREF _Toc89106760 \h </w:instrText>
          </w:r>
          <w:r>
            <w:fldChar w:fldCharType="separate"/>
          </w:r>
          <w:r>
            <w:t>3</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"_Toc89106761" </w:instrText>
          </w:r>
          <w:r>
            <w:fldChar w:fldCharType="separate"/>
          </w:r>
          <w:r>
            <w:rPr>
              <w:rStyle w:val="13"/>
            </w:rPr>
            <w:t>2 师资队伍</w:t>
          </w:r>
          <w:r>
            <w:tab/>
          </w:r>
          <w:r>
            <w:fldChar w:fldCharType="begin"/>
          </w:r>
          <w:r>
            <w:instrText xml:space="preserve"> PAGEREF _Toc89106761 \h </w:instrText>
          </w:r>
          <w:r>
            <w:fldChar w:fldCharType="separate"/>
          </w:r>
          <w:r>
            <w:t>3</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"_Toc89106762" </w:instrText>
          </w:r>
          <w:r>
            <w:fldChar w:fldCharType="separate"/>
          </w:r>
          <w:r>
            <w:rPr>
              <w:rStyle w:val="13"/>
            </w:rPr>
            <w:t>3 教学科学</w:t>
          </w:r>
          <w:r>
            <w:tab/>
          </w:r>
          <w:r>
            <w:fldChar w:fldCharType="begin"/>
          </w:r>
          <w:r>
            <w:instrText xml:space="preserve"> PAGEREF _Toc89106762 \h </w:instrText>
          </w:r>
          <w:r>
            <w:fldChar w:fldCharType="separate"/>
          </w:r>
          <w:r>
            <w:t>4</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"_Toc89106763" </w:instrText>
          </w:r>
          <w:r>
            <w:fldChar w:fldCharType="separate"/>
          </w:r>
          <w:r>
            <w:rPr>
              <w:rStyle w:val="13"/>
            </w:rPr>
            <w:t>4 管理服务体系</w:t>
          </w:r>
          <w:r>
            <w:tab/>
          </w:r>
          <w:r>
            <w:fldChar w:fldCharType="begin"/>
          </w:r>
          <w:r>
            <w:instrText xml:space="preserve"> PAGEREF _Toc89106763 \h </w:instrText>
          </w:r>
          <w:r>
            <w:fldChar w:fldCharType="separate"/>
          </w:r>
          <w:r>
            <w:t>5</w:t>
          </w:r>
          <w:r>
            <w:fldChar w:fldCharType="end"/>
          </w:r>
          <w:r>
            <w:fldChar w:fldCharType="end"/>
          </w:r>
        </w:p>
        <w:p>
          <w:pPr>
            <w:pStyle w:val="10"/>
            <w:tabs>
              <w:tab w:val="right" w:leader="dot" w:pos="8296"/>
            </w:tabs>
            <w:ind w:left="480"/>
            <w:rPr>
              <w:rFonts w:asciiTheme="minorHAnsi" w:hAnsiTheme="minorHAnsi" w:eastAsiaTheme="minorEastAsia" w:cstheme="minorBidi"/>
              <w:sz w:val="21"/>
            </w:rPr>
          </w:pPr>
          <w:r>
            <w:fldChar w:fldCharType="begin"/>
          </w:r>
          <w:r>
            <w:instrText xml:space="preserve"> HYPERLINK \l "_Toc89106764" </w:instrText>
          </w:r>
          <w:r>
            <w:fldChar w:fldCharType="separate"/>
          </w:r>
          <w:r>
            <w:rPr>
              <w:rStyle w:val="13"/>
            </w:rPr>
            <w:t>（三）人才培养</w:t>
          </w:r>
          <w:r>
            <w:tab/>
          </w:r>
          <w:r>
            <w:fldChar w:fldCharType="begin"/>
          </w:r>
          <w:r>
            <w:instrText xml:space="preserve"> PAGEREF _Toc89106764 \h </w:instrText>
          </w:r>
          <w:r>
            <w:fldChar w:fldCharType="separate"/>
          </w:r>
          <w:r>
            <w:t>5</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"_Toc89106765" </w:instrText>
          </w:r>
          <w:r>
            <w:fldChar w:fldCharType="separate"/>
          </w:r>
          <w:r>
            <w:rPr>
              <w:rStyle w:val="13"/>
            </w:rPr>
            <w:t>1 思想政治教育</w:t>
          </w:r>
          <w:r>
            <w:tab/>
          </w:r>
          <w:r>
            <w:fldChar w:fldCharType="begin"/>
          </w:r>
          <w:r>
            <w:instrText xml:space="preserve"> PAGEREF _Toc89106765 \h </w:instrText>
          </w:r>
          <w:r>
            <w:fldChar w:fldCharType="separate"/>
          </w:r>
          <w:r>
            <w:t>5</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"_Toc89106766" </w:instrText>
          </w:r>
          <w:r>
            <w:fldChar w:fldCharType="separate"/>
          </w:r>
          <w:r>
            <w:rPr>
              <w:rStyle w:val="13"/>
            </w:rPr>
            <w:t>2 师德师风建设</w:t>
          </w:r>
          <w:r>
            <w:tab/>
          </w:r>
          <w:r>
            <w:fldChar w:fldCharType="begin"/>
          </w:r>
          <w:r>
            <w:instrText xml:space="preserve"> PAGEREF _Toc89106766 \h </w:instrText>
          </w:r>
          <w:r>
            <w:fldChar w:fldCharType="separate"/>
          </w:r>
          <w:r>
            <w:t>6</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"_Toc89106767" </w:instrText>
          </w:r>
          <w:r>
            <w:fldChar w:fldCharType="separate"/>
          </w:r>
          <w:r>
            <w:rPr>
              <w:rStyle w:val="13"/>
            </w:rPr>
            <w:t>3 招生选拔</w:t>
          </w:r>
          <w:r>
            <w:tab/>
          </w:r>
          <w:r>
            <w:fldChar w:fldCharType="begin"/>
          </w:r>
          <w:r>
            <w:instrText xml:space="preserve"> PAGEREF _Toc89106767 \h </w:instrText>
          </w:r>
          <w:r>
            <w:fldChar w:fldCharType="separate"/>
          </w:r>
          <w:r>
            <w:t>6</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"_Toc89106768" </w:instrText>
          </w:r>
          <w:r>
            <w:fldChar w:fldCharType="separate"/>
          </w:r>
          <w:r>
            <w:rPr>
              <w:rStyle w:val="13"/>
            </w:rPr>
            <w:t>4 课程教学</w:t>
          </w:r>
          <w:r>
            <w:tab/>
          </w:r>
          <w:r>
            <w:fldChar w:fldCharType="begin"/>
          </w:r>
          <w:r>
            <w:instrText xml:space="preserve"> PAGEREF _Toc89106768 \h </w:instrText>
          </w:r>
          <w:r>
            <w:fldChar w:fldCharType="separate"/>
          </w:r>
          <w:r>
            <w:t>6</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"_Toc89106769" </w:instrText>
          </w:r>
          <w:r>
            <w:fldChar w:fldCharType="separate"/>
          </w:r>
          <w:r>
            <w:rPr>
              <w:rStyle w:val="13"/>
            </w:rPr>
            <w:t>5 专业锻炼</w:t>
          </w:r>
          <w:r>
            <w:tab/>
          </w:r>
          <w:r>
            <w:fldChar w:fldCharType="begin"/>
          </w:r>
          <w:r>
            <w:instrText xml:space="preserve"> PAGEREF _Toc89106769 \h </w:instrText>
          </w:r>
          <w:r>
            <w:fldChar w:fldCharType="separate"/>
          </w:r>
          <w:r>
            <w:t>7</w:t>
          </w:r>
          <w:r>
            <w:fldChar w:fldCharType="end"/>
          </w:r>
          <w:r>
            <w:fldChar w:fldCharType="end"/>
          </w:r>
        </w:p>
        <w:p>
          <w:pPr>
            <w:pStyle w:val="10"/>
            <w:tabs>
              <w:tab w:val="right" w:leader="dot" w:pos="8296"/>
            </w:tabs>
            <w:ind w:left="480"/>
            <w:rPr>
              <w:rFonts w:asciiTheme="minorHAnsi" w:hAnsiTheme="minorHAnsi" w:eastAsiaTheme="minorEastAsia" w:cstheme="minorBidi"/>
              <w:sz w:val="21"/>
            </w:rPr>
          </w:pPr>
          <w:r>
            <w:fldChar w:fldCharType="begin"/>
          </w:r>
          <w:r>
            <w:instrText xml:space="preserve"> HYPERLINK \l "_Toc89106770" </w:instrText>
          </w:r>
          <w:r>
            <w:fldChar w:fldCharType="separate"/>
          </w:r>
          <w:r>
            <w:rPr>
              <w:rStyle w:val="13"/>
            </w:rPr>
            <w:t>（四）质量监控</w:t>
          </w:r>
          <w:r>
            <w:tab/>
          </w:r>
          <w:r>
            <w:fldChar w:fldCharType="begin"/>
          </w:r>
          <w:r>
            <w:instrText xml:space="preserve"> PAGEREF _Toc89106770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 w:val="21"/>
            </w:rPr>
          </w:pPr>
          <w:r>
            <w:fldChar w:fldCharType="begin"/>
          </w:r>
          <w:r>
            <w:instrText xml:space="preserve"> HYPERLINK \l "_Toc89106771" </w:instrText>
          </w:r>
          <w:r>
            <w:fldChar w:fldCharType="separate"/>
          </w:r>
          <w:r>
            <w:rPr>
              <w:rStyle w:val="13"/>
            </w:rPr>
            <w:t>二、工作特色与成效</w:t>
          </w:r>
          <w:r>
            <w:tab/>
          </w:r>
          <w:r>
            <w:fldChar w:fldCharType="begin"/>
          </w:r>
          <w:r>
            <w:instrText xml:space="preserve"> PAGEREF _Toc89106771 \h </w:instrText>
          </w:r>
          <w:r>
            <w:fldChar w:fldCharType="separate"/>
          </w:r>
          <w:r>
            <w:t>8</w:t>
          </w:r>
          <w:r>
            <w:fldChar w:fldCharType="end"/>
          </w:r>
          <w:r>
            <w:fldChar w:fldCharType="end"/>
          </w:r>
        </w:p>
        <w:p>
          <w:pPr>
            <w:pStyle w:val="10"/>
            <w:tabs>
              <w:tab w:val="right" w:leader="dot" w:pos="8296"/>
            </w:tabs>
            <w:ind w:left="480"/>
            <w:rPr>
              <w:rFonts w:asciiTheme="minorHAnsi" w:hAnsiTheme="minorHAnsi" w:eastAsiaTheme="minorEastAsia" w:cstheme="minorBidi"/>
              <w:sz w:val="21"/>
            </w:rPr>
          </w:pPr>
          <w:r>
            <w:fldChar w:fldCharType="begin"/>
          </w:r>
          <w:r>
            <w:instrText xml:space="preserve"> HYPERLINK \l "_Toc89106772" </w:instrText>
          </w:r>
          <w:r>
            <w:fldChar w:fldCharType="separate"/>
          </w:r>
          <w:r>
            <w:rPr>
              <w:rStyle w:val="13"/>
            </w:rPr>
            <w:t>（一）人才培养特色与优势</w:t>
          </w:r>
          <w:r>
            <w:tab/>
          </w:r>
          <w:r>
            <w:fldChar w:fldCharType="begin"/>
          </w:r>
          <w:r>
            <w:instrText xml:space="preserve"> PAGEREF _Toc89106772 \h </w:instrText>
          </w:r>
          <w:r>
            <w:fldChar w:fldCharType="separate"/>
          </w:r>
          <w:r>
            <w:t>8</w:t>
          </w:r>
          <w:r>
            <w:fldChar w:fldCharType="end"/>
          </w:r>
          <w:r>
            <w:fldChar w:fldCharType="end"/>
          </w:r>
        </w:p>
        <w:p>
          <w:pPr>
            <w:pStyle w:val="10"/>
            <w:tabs>
              <w:tab w:val="right" w:leader="dot" w:pos="8296"/>
            </w:tabs>
            <w:ind w:left="480"/>
            <w:rPr>
              <w:rFonts w:asciiTheme="minorHAnsi" w:hAnsiTheme="minorHAnsi" w:eastAsiaTheme="minorEastAsia" w:cstheme="minorBidi"/>
              <w:sz w:val="21"/>
            </w:rPr>
          </w:pPr>
          <w:r>
            <w:fldChar w:fldCharType="begin"/>
          </w:r>
          <w:r>
            <w:instrText xml:space="preserve"> HYPERLINK \l "_Toc89106773" </w:instrText>
          </w:r>
          <w:r>
            <w:fldChar w:fldCharType="separate"/>
          </w:r>
          <w:r>
            <w:rPr>
              <w:rStyle w:val="13"/>
            </w:rPr>
            <w:t>（二）思想政治教育特色与成效</w:t>
          </w:r>
          <w:r>
            <w:tab/>
          </w:r>
          <w:r>
            <w:fldChar w:fldCharType="begin"/>
          </w:r>
          <w:r>
            <w:instrText xml:space="preserve"> PAGEREF _Toc89106773 \h </w:instrText>
          </w:r>
          <w:r>
            <w:fldChar w:fldCharType="separate"/>
          </w:r>
          <w:r>
            <w:t>8</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"_Toc89106774" </w:instrText>
          </w:r>
          <w:r>
            <w:fldChar w:fldCharType="separate"/>
          </w:r>
          <w:r>
            <w:rPr>
              <w:rStyle w:val="13"/>
            </w:rPr>
            <w:t>1.思政教育特色做法</w:t>
          </w:r>
          <w:r>
            <w:tab/>
          </w:r>
          <w:r>
            <w:fldChar w:fldCharType="begin"/>
          </w:r>
          <w:r>
            <w:instrText xml:space="preserve"> PAGEREF _Toc89106774 \h </w:instrText>
          </w:r>
          <w:r>
            <w:fldChar w:fldCharType="separate"/>
          </w:r>
          <w:r>
            <w:t>8</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"_Toc89106775" </w:instrText>
          </w:r>
          <w:r>
            <w:fldChar w:fldCharType="separate"/>
          </w:r>
          <w:r>
            <w:rPr>
              <w:rStyle w:val="13"/>
            </w:rPr>
            <w:t>2.思政教育成效</w:t>
          </w:r>
          <w:r>
            <w:tab/>
          </w:r>
          <w:r>
            <w:fldChar w:fldCharType="begin"/>
          </w:r>
          <w:r>
            <w:instrText xml:space="preserve"> PAGEREF _Toc89106775 \h </w:instrText>
          </w:r>
          <w:r>
            <w:fldChar w:fldCharType="separate"/>
          </w:r>
          <w:r>
            <w:t>9</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"_Toc89106776" </w:instrText>
          </w:r>
          <w:r>
            <w:fldChar w:fldCharType="separate"/>
          </w:r>
          <w:r>
            <w:rPr>
              <w:rStyle w:val="13"/>
            </w:rPr>
            <w:t>3 师德师风建设</w:t>
          </w:r>
          <w:r>
            <w:tab/>
          </w:r>
          <w:r>
            <w:fldChar w:fldCharType="begin"/>
          </w:r>
          <w:r>
            <w:instrText xml:space="preserve"> PAGEREF _Toc89106776 \h </w:instrText>
          </w:r>
          <w:r>
            <w:fldChar w:fldCharType="separate"/>
          </w:r>
          <w:r>
            <w:t>9</w:t>
          </w:r>
          <w:r>
            <w:fldChar w:fldCharType="end"/>
          </w:r>
          <w:r>
            <w:fldChar w:fldCharType="end"/>
          </w:r>
        </w:p>
        <w:p>
          <w:pPr>
            <w:pStyle w:val="5"/>
            <w:tabs>
              <w:tab w:val="right" w:leader="dot" w:pos="8296"/>
            </w:tabs>
            <w:ind w:left="960"/>
            <w:rPr>
              <w:rFonts w:asciiTheme="minorHAnsi" w:hAnsiTheme="minorHAnsi" w:eastAsiaTheme="minorEastAsia" w:cstheme="minorBidi"/>
              <w:sz w:val="21"/>
            </w:rPr>
          </w:pPr>
          <w:r>
            <w:fldChar w:fldCharType="begin"/>
          </w:r>
          <w:r>
            <w:instrText xml:space="preserve"> HYPERLINK \l "_Toc89106777" </w:instrText>
          </w:r>
          <w:r>
            <w:fldChar w:fldCharType="separate"/>
          </w:r>
          <w:r>
            <w:rPr>
              <w:rStyle w:val="13"/>
            </w:rPr>
            <w:t>4 课程建设</w:t>
          </w:r>
          <w:r>
            <w:tab/>
          </w:r>
          <w:r>
            <w:fldChar w:fldCharType="begin"/>
          </w:r>
          <w:r>
            <w:instrText xml:space="preserve"> PAGEREF _Toc89106777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 w:val="21"/>
            </w:rPr>
          </w:pPr>
          <w:r>
            <w:fldChar w:fldCharType="begin"/>
          </w:r>
          <w:r>
            <w:instrText xml:space="preserve"> HYPERLINK \l "_Toc89106778" </w:instrText>
          </w:r>
          <w:r>
            <w:fldChar w:fldCharType="separate"/>
          </w:r>
          <w:r>
            <w:rPr>
              <w:rStyle w:val="13"/>
            </w:rPr>
            <w:t>三、学位点建设存在的问题</w:t>
          </w:r>
          <w:r>
            <w:tab/>
          </w:r>
          <w:r>
            <w:fldChar w:fldCharType="begin"/>
          </w:r>
          <w:r>
            <w:instrText xml:space="preserve"> PAGEREF _Toc89106778 \h </w:instrText>
          </w:r>
          <w:r>
            <w:fldChar w:fldCharType="separate"/>
          </w:r>
          <w:r>
            <w:t>11</w:t>
          </w:r>
          <w:r>
            <w:fldChar w:fldCharType="end"/>
          </w:r>
          <w:r>
            <w:fldChar w:fldCharType="end"/>
          </w:r>
        </w:p>
        <w:p>
          <w:pPr>
            <w:pStyle w:val="9"/>
            <w:tabs>
              <w:tab w:val="right" w:leader="dot" w:pos="8296"/>
            </w:tabs>
            <w:rPr>
              <w:rFonts w:asciiTheme="minorHAnsi" w:hAnsiTheme="minorHAnsi" w:eastAsiaTheme="minorEastAsia" w:cstheme="minorBidi"/>
              <w:sz w:val="21"/>
            </w:rPr>
          </w:pPr>
          <w:r>
            <w:fldChar w:fldCharType="begin"/>
          </w:r>
          <w:r>
            <w:instrText xml:space="preserve"> HYPERLINK \l "_Toc89106779" </w:instrText>
          </w:r>
          <w:r>
            <w:fldChar w:fldCharType="separate"/>
          </w:r>
          <w:r>
            <w:rPr>
              <w:rStyle w:val="13"/>
            </w:rPr>
            <w:t>四、下一年度建设计划</w:t>
          </w:r>
          <w:r>
            <w:tab/>
          </w:r>
          <w:r>
            <w:fldChar w:fldCharType="begin"/>
          </w:r>
          <w:r>
            <w:instrText xml:space="preserve"> PAGEREF _Toc89106779 \h </w:instrText>
          </w:r>
          <w:r>
            <w:fldChar w:fldCharType="separate"/>
          </w:r>
          <w:r>
            <w:t>11</w:t>
          </w:r>
          <w:r>
            <w:fldChar w:fldCharType="end"/>
          </w:r>
          <w:r>
            <w:fldChar w:fldCharType="end"/>
          </w:r>
        </w:p>
        <w:p>
          <w:r>
            <w:rPr>
              <w:b/>
              <w:bCs/>
              <w:lang w:val="zh-CN"/>
            </w:rPr>
            <w:fldChar w:fldCharType="end"/>
          </w:r>
        </w:p>
      </w:sdtContent>
    </w:sdt>
    <w:p>
      <w:pPr>
        <w:snapToGrid w:val="0"/>
        <w:spacing w:line="580" w:lineRule="exact"/>
        <w:ind w:firstLine="640" w:firstLineChars="200"/>
        <w:jc w:val="center"/>
        <w:rPr>
          <w:rFonts w:ascii="仿宋_GB2312" w:eastAsia="仿宋_GB2312"/>
          <w:sz w:val="32"/>
          <w:szCs w:val="32"/>
        </w:rPr>
      </w:pPr>
    </w:p>
    <w:p>
      <w:pPr>
        <w:snapToGrid w:val="0"/>
        <w:spacing w:line="580" w:lineRule="exact"/>
        <w:ind w:firstLine="640" w:firstLineChars="200"/>
        <w:jc w:val="center"/>
        <w:rPr>
          <w:rFonts w:ascii="仿宋_GB2312" w:eastAsia="仿宋_GB2312"/>
          <w:sz w:val="32"/>
          <w:szCs w:val="32"/>
        </w:rPr>
      </w:pPr>
    </w:p>
    <w:p>
      <w:pPr>
        <w:snapToGrid w:val="0"/>
        <w:spacing w:line="580" w:lineRule="exact"/>
        <w:ind w:firstLine="640" w:firstLineChars="200"/>
        <w:jc w:val="center"/>
        <w:rPr>
          <w:rFonts w:ascii="仿宋_GB2312" w:eastAsia="仿宋_GB2312"/>
          <w:sz w:val="32"/>
          <w:szCs w:val="32"/>
        </w:rPr>
      </w:pPr>
    </w:p>
    <w:p>
      <w:pPr>
        <w:snapToGrid w:val="0"/>
        <w:spacing w:line="580" w:lineRule="exact"/>
        <w:ind w:firstLine="640" w:firstLineChars="200"/>
        <w:jc w:val="center"/>
        <w:rPr>
          <w:rFonts w:ascii="仿宋_GB2312" w:eastAsia="仿宋_GB2312"/>
          <w:sz w:val="32"/>
          <w:szCs w:val="32"/>
        </w:rPr>
      </w:pPr>
    </w:p>
    <w:p>
      <w:pPr>
        <w:pStyle w:val="2"/>
      </w:pPr>
      <w:bookmarkStart w:id="0" w:name="_Toc89106757"/>
      <w:r>
        <w:rPr>
          <w:rFonts w:hint="eastAsia"/>
        </w:rPr>
        <w:t>一、学位授权点基本情况</w:t>
      </w:r>
      <w:bookmarkEnd w:id="0"/>
    </w:p>
    <w:p>
      <w:pPr>
        <w:ind w:firstLine="420"/>
      </w:pPr>
      <w:r>
        <w:rPr>
          <w:rFonts w:hint="eastAsia"/>
        </w:rPr>
        <w:t>福建省是我国南方重点集体林区，森林资源丰富，林业产业发达，森林覆盖率连续30多年居全国第一，也是南方重要生态屏障和全国林权改革先行省份，对林业高层次人才和林业先进技术的需求强劲。福建农林大学的林学学科始创于1940年，在周桢、李先才和俞新妥等先辈的薪火传承下，立足于东南林区，逐步建立了具有极具南方特色的研究领域和学科体系。福建农林大学林业专业学位点</w:t>
      </w:r>
      <w:r>
        <w:rPr>
          <w:rFonts w:hAnsi="宋体"/>
          <w:color w:val="000000"/>
        </w:rPr>
        <w:t>于</w:t>
      </w:r>
      <w:r>
        <w:rPr>
          <w:color w:val="000000"/>
        </w:rPr>
        <w:t>2011</w:t>
      </w:r>
      <w:r>
        <w:rPr>
          <w:rFonts w:hAnsi="宋体"/>
          <w:color w:val="000000"/>
        </w:rPr>
        <w:t>年起招收培养林业硕士，</w:t>
      </w:r>
      <w:r>
        <w:rPr>
          <w:rFonts w:hint="eastAsia"/>
        </w:rPr>
        <w:t>经过近10年建设，本学位点逐步丰富培养方向、完善规章制度，在师资引进与培训、平台建设、招生规模与培养质量上稳步提升，育人成效显著。</w:t>
      </w:r>
    </w:p>
    <w:p>
      <w:pPr>
        <w:ind w:firstLine="420"/>
      </w:pPr>
      <w:r>
        <w:rPr>
          <w:rFonts w:hint="eastAsia" w:hAnsi="宋体"/>
          <w:color w:val="000000"/>
        </w:rPr>
        <w:t>截止2</w:t>
      </w:r>
      <w:r>
        <w:rPr>
          <w:rFonts w:hAnsi="宋体"/>
          <w:color w:val="000000"/>
        </w:rPr>
        <w:t>020</w:t>
      </w:r>
      <w:r>
        <w:rPr>
          <w:rFonts w:hint="eastAsia" w:hAnsi="宋体"/>
          <w:color w:val="000000"/>
        </w:rPr>
        <w:t>年，该学位点依托国家林业局杉木工程技术研究中心、国家林业局福建长汀红壤丘陵生态系统定位观测研究站、生态公益林重大有害生物防控福建省高校重点实验室等15个省部级科研平台开设有8个培养方向，实习专业学位培养双导师制，校外专业导师</w:t>
      </w:r>
      <w:r>
        <w:rPr>
          <w:rFonts w:hAnsi="宋体"/>
        </w:rPr>
        <w:t>91</w:t>
      </w:r>
      <w:r>
        <w:rPr>
          <w:rFonts w:hint="eastAsia" w:hAnsi="宋体"/>
          <w:color w:val="000000"/>
        </w:rPr>
        <w:t>人，创新课程建设，校外生产一线导师参与授课的学位课达到</w:t>
      </w:r>
      <w:r>
        <w:rPr>
          <w:rFonts w:hint="eastAsia" w:hAnsi="宋体"/>
        </w:rPr>
        <w:t>3</w:t>
      </w:r>
      <w:r>
        <w:rPr>
          <w:rFonts w:hAnsi="宋体"/>
        </w:rPr>
        <w:t>5</w:t>
      </w:r>
      <w:r>
        <w:rPr>
          <w:rFonts w:hint="eastAsia" w:hAnsi="宋体"/>
        </w:rPr>
        <w:t>%，合作建设有专业实践基地1</w:t>
      </w:r>
      <w:r>
        <w:rPr>
          <w:rFonts w:hAnsi="宋体"/>
        </w:rPr>
        <w:t>7</w:t>
      </w:r>
      <w:r>
        <w:rPr>
          <w:rFonts w:hint="eastAsia" w:hAnsi="宋体"/>
        </w:rPr>
        <w:t>个，其中国家级示范基地1个，</w:t>
      </w:r>
      <w:r>
        <w:rPr>
          <w:rFonts w:hint="eastAsia" w:hAnsi="宋体"/>
          <w:color w:val="000000"/>
        </w:rPr>
        <w:t>国家森林康养基地1个，已培养毕业生2</w:t>
      </w:r>
      <w:r>
        <w:rPr>
          <w:rFonts w:hAnsi="宋体"/>
          <w:color w:val="000000"/>
        </w:rPr>
        <w:t>77</w:t>
      </w:r>
      <w:r>
        <w:rPr>
          <w:rFonts w:hint="eastAsia" w:hAnsi="宋体"/>
          <w:color w:val="000000"/>
        </w:rPr>
        <w:t>人。</w:t>
      </w:r>
    </w:p>
    <w:p>
      <w:pPr>
        <w:pStyle w:val="3"/>
      </w:pPr>
      <w:bookmarkStart w:id="1" w:name="_Toc89106758"/>
      <w:r>
        <w:rPr>
          <w:rFonts w:hint="eastAsia"/>
        </w:rPr>
        <w:t>（一）目标与标准</w:t>
      </w:r>
      <w:bookmarkEnd w:id="1"/>
    </w:p>
    <w:p>
      <w:pPr>
        <w:spacing w:line="360" w:lineRule="auto"/>
        <w:ind w:firstLine="480" w:firstLineChars="200"/>
        <w:rPr>
          <w:rFonts w:hAnsi="宋体"/>
          <w:color w:val="000000"/>
        </w:rPr>
      </w:pPr>
      <w:r>
        <w:rPr>
          <w:rFonts w:hint="eastAsia" w:hAnsi="宋体"/>
          <w:color w:val="000000"/>
        </w:rPr>
        <w:t>贯彻党和国家教育方针，面向现代化、面向世界、面向未来，培养德、智、体、美、劳全面发展，适应社会主义现代化建设，掌握林业领域坚实的基础理论和宽广的专业知识、具有较强的解决实际问题的能力，能够承担专业技术或管理工作、具有良好职业素养的高层次应用型专门人才。具体培养目标如下：</w:t>
      </w:r>
    </w:p>
    <w:p>
      <w:pPr>
        <w:spacing w:line="360" w:lineRule="auto"/>
        <w:ind w:firstLine="480" w:firstLineChars="200"/>
        <w:rPr>
          <w:rFonts w:hAnsi="宋体"/>
          <w:color w:val="000000"/>
        </w:rPr>
      </w:pPr>
      <w:r>
        <w:rPr>
          <w:rFonts w:hint="eastAsia" w:hAnsi="宋体"/>
          <w:color w:val="000000"/>
        </w:rPr>
        <w:t>（1）坚持党的基本路线，热爱祖国，遵纪守法，具有良好的科研道德和敬业精神，品行端正，诚实守信，身心健康。</w:t>
      </w:r>
    </w:p>
    <w:p>
      <w:pPr>
        <w:spacing w:line="360" w:lineRule="auto"/>
        <w:ind w:firstLine="480" w:firstLineChars="200"/>
        <w:rPr>
          <w:rFonts w:hAnsi="宋体"/>
          <w:color w:val="000000"/>
        </w:rPr>
      </w:pPr>
      <w:r>
        <w:rPr>
          <w:rFonts w:hint="eastAsia" w:hAnsi="宋体"/>
          <w:color w:val="000000"/>
        </w:rPr>
        <w:t>（2）具有系统林业基本理论和专业知识，能熟练运用现代林业技术，重点解决南方林业生产、生态环境建设和新兴林业产业发展过程中的实际问题，适合在林业和环境保护等行政事业单位、教育部门、研发机构、涉林企业从事管理、教育、研发、推广等工作的高层次、应用型、复合型林业专门人才。</w:t>
      </w:r>
    </w:p>
    <w:p>
      <w:pPr>
        <w:spacing w:line="360" w:lineRule="auto"/>
        <w:ind w:firstLine="480" w:firstLineChars="200"/>
        <w:rPr>
          <w:rFonts w:hAnsi="宋体"/>
          <w:color w:val="000000"/>
        </w:rPr>
      </w:pPr>
      <w:r>
        <w:rPr>
          <w:rFonts w:hint="eastAsia" w:hAnsi="宋体"/>
          <w:color w:val="000000"/>
        </w:rPr>
        <w:t>（3）符合我国南方，特别是福建林业产业发展对人才的需求，培养的人才既有系统的林业基础理论知识，又具有较强的实践技能。</w:t>
      </w:r>
    </w:p>
    <w:p>
      <w:pPr>
        <w:spacing w:line="360" w:lineRule="auto"/>
        <w:ind w:firstLine="480" w:firstLineChars="200"/>
        <w:rPr>
          <w:rFonts w:hAnsi="宋体"/>
          <w:color w:val="000000"/>
        </w:rPr>
      </w:pPr>
      <w:r>
        <w:rPr>
          <w:rFonts w:hint="eastAsia" w:hAnsi="宋体"/>
          <w:color w:val="000000"/>
        </w:rPr>
        <w:t>（4）掌握一门外国语，具有较熟练的阅读能力，一定的写、译能力和基本的听、说能力，能适应本专业学习、研究和学术交流的需要。</w:t>
      </w:r>
    </w:p>
    <w:p>
      <w:pPr>
        <w:pStyle w:val="3"/>
        <w:rPr>
          <w:rFonts w:ascii="仿宋_GB2312" w:eastAsia="仿宋_GB2312"/>
          <w:sz w:val="32"/>
        </w:rPr>
      </w:pPr>
      <w:bookmarkStart w:id="2" w:name="_Toc89106759"/>
      <w:r>
        <w:rPr>
          <w:rFonts w:hint="eastAsia"/>
        </w:rPr>
        <w:t>（二）学位点基本条件</w:t>
      </w:r>
      <w:bookmarkEnd w:id="2"/>
    </w:p>
    <w:p>
      <w:pPr>
        <w:pStyle w:val="4"/>
      </w:pPr>
      <w:bookmarkStart w:id="3" w:name="_Toc89106760"/>
      <w:r>
        <w:rPr>
          <w:rFonts w:hint="eastAsia"/>
        </w:rPr>
        <w:t>1培养方向</w:t>
      </w:r>
      <w:bookmarkEnd w:id="3"/>
    </w:p>
    <w:p>
      <w:pPr>
        <w:ind w:firstLine="648"/>
        <w:rPr>
          <w:rFonts w:ascii="宋体" w:hAnsi="宋体"/>
          <w:szCs w:val="32"/>
        </w:rPr>
      </w:pPr>
      <w:r>
        <w:rPr>
          <w:rFonts w:hint="eastAsia" w:ascii="宋体" w:hAnsi="宋体"/>
          <w:szCs w:val="32"/>
        </w:rPr>
        <w:t>本学位点开设林木种苗繁育技术、森林培育技术、森林资源经营管理、森林保护工程、经济林栽培技术、药用植物栽培和利用、植物生长发育与调控，森林康养工程8个培养方向，其中，森林康养工程为2</w:t>
      </w:r>
      <w:r>
        <w:rPr>
          <w:rFonts w:ascii="宋体" w:hAnsi="宋体"/>
          <w:szCs w:val="32"/>
        </w:rPr>
        <w:t>020</w:t>
      </w:r>
      <w:r>
        <w:rPr>
          <w:rFonts w:hint="eastAsia" w:ascii="宋体" w:hAnsi="宋体"/>
          <w:szCs w:val="32"/>
        </w:rPr>
        <w:t>年新设培养方向。</w:t>
      </w:r>
    </w:p>
    <w:p>
      <w:pPr>
        <w:ind w:firstLine="648"/>
        <w:rPr>
          <w:rFonts w:ascii="宋体" w:hAnsi="宋体"/>
          <w:szCs w:val="32"/>
        </w:rPr>
      </w:pPr>
      <w:r>
        <w:rPr>
          <w:rFonts w:hint="eastAsia" w:ascii="宋体" w:hAnsi="宋体"/>
          <w:b/>
          <w:szCs w:val="32"/>
        </w:rPr>
        <w:t>（</w:t>
      </w:r>
      <w:r>
        <w:rPr>
          <w:rFonts w:ascii="宋体" w:hAnsi="宋体"/>
          <w:b/>
          <w:szCs w:val="32"/>
        </w:rPr>
        <w:t>1</w:t>
      </w:r>
      <w:r>
        <w:rPr>
          <w:rFonts w:hint="eastAsia" w:ascii="宋体" w:hAnsi="宋体"/>
          <w:b/>
          <w:szCs w:val="32"/>
        </w:rPr>
        <w:t>）林木种苗繁育技术</w:t>
      </w:r>
      <w:r>
        <w:rPr>
          <w:rFonts w:hint="eastAsia" w:ascii="宋体" w:hAnsi="宋体"/>
          <w:szCs w:val="32"/>
        </w:rPr>
        <w:t>：围绕福建乃至南方重要木本植物的分子育种、遗传改良、良种选育、种苗扩繁、苗木管理等基础理论和应用技术开展人才培养、科学研究和社会实践工作。该方向在南方乡土树种、珍贵树种、特殊用途树种种质筛选评价、组织培养、地理种源和优良种质的区域性试验、超干燥超低温保存林木种子种质技术、林木光自养植物微繁殖技术研究方面形成了特色和优势。</w:t>
      </w:r>
    </w:p>
    <w:p>
      <w:pPr>
        <w:ind w:firstLine="648"/>
        <w:rPr>
          <w:rFonts w:ascii="宋体" w:hAnsi="宋体"/>
          <w:color w:val="000000"/>
        </w:rPr>
      </w:pPr>
      <w:r>
        <w:rPr>
          <w:rFonts w:ascii="宋体" w:hAnsi="宋体"/>
          <w:b/>
          <w:szCs w:val="32"/>
        </w:rPr>
        <w:t>（2）森林培育技术：</w:t>
      </w:r>
      <w:r>
        <w:rPr>
          <w:rFonts w:ascii="宋体" w:hAnsi="宋体"/>
          <w:color w:val="000000"/>
        </w:rPr>
        <w:t>围绕福建乃至南方山地主要用材林、经济林、竹林、阔叶林、林下经济植物高效培育的基础理论与应用技术开展人才培养、科学研究和社会实践工作。该方向在杉木、马尾松、桉树、楠木、福建柏、油茶、香樟、红豆杉、雷公藤、竹林、红豆树等南方珍贵特色树种的栽培和利用研究居国内前列，也是与台湾高校、林业院所进行学术交流的重要基地。</w:t>
      </w:r>
    </w:p>
    <w:p>
      <w:pPr>
        <w:ind w:firstLine="648"/>
        <w:rPr>
          <w:rFonts w:ascii="宋体" w:hAnsi="宋体"/>
          <w:szCs w:val="32"/>
        </w:rPr>
      </w:pPr>
      <w:r>
        <w:rPr>
          <w:rFonts w:hint="eastAsia" w:ascii="宋体" w:hAnsi="宋体"/>
          <w:b/>
          <w:szCs w:val="32"/>
        </w:rPr>
        <w:t>（3）森林资源经营管理</w:t>
      </w:r>
      <w:r>
        <w:rPr>
          <w:rFonts w:hint="eastAsia" w:ascii="宋体" w:hAnsi="宋体"/>
          <w:szCs w:val="32"/>
        </w:rPr>
        <w:t>：围绕福建乃至南方主要森林的调查区划、资源监测和评估、森林生长收获模型建立、可持续经营管理等的基础理论和应用技术等开展人才培养、科学研究和社会实践。该方向在森林资源经营管理、林业资产评估、森林生长收获预估、林业数表研制、林业3S技术与应用、计算机在林业上应用等方面具有优势。</w:t>
      </w:r>
    </w:p>
    <w:p>
      <w:pPr>
        <w:ind w:firstLine="482" w:firstLineChars="200"/>
        <w:rPr>
          <w:rFonts w:ascii="宋体" w:hAnsi="宋体"/>
          <w:szCs w:val="32"/>
        </w:rPr>
      </w:pPr>
      <w:r>
        <w:rPr>
          <w:rFonts w:ascii="宋体" w:hAnsi="宋体"/>
          <w:b/>
          <w:szCs w:val="32"/>
        </w:rPr>
        <w:t>（4）森林保护工程</w:t>
      </w:r>
      <w:r>
        <w:rPr>
          <w:rFonts w:ascii="宋体" w:hAnsi="宋体"/>
          <w:szCs w:val="32"/>
        </w:rPr>
        <w:t>：围绕福建乃至南方主要林业有害生物和生物入侵的成灾规律、监测预警、预测预报、综合控制的基础理论和应用技术等开展人才培养、科学研究和社会实践。该方向在松树、杉木、桉树、毛竹、木麻黄等主要树种有害生物防控的基础理论和应用技术研究方面具有特色。</w:t>
      </w:r>
    </w:p>
    <w:p>
      <w:pPr>
        <w:ind w:firstLine="648"/>
        <w:rPr>
          <w:rFonts w:ascii="宋体" w:hAnsi="宋体"/>
          <w:b/>
          <w:szCs w:val="32"/>
        </w:rPr>
      </w:pPr>
      <w:r>
        <w:rPr>
          <w:rFonts w:hint="eastAsia" w:ascii="宋体" w:hAnsi="宋体"/>
          <w:b/>
          <w:szCs w:val="32"/>
        </w:rPr>
        <w:t>（5）经济林栽培技术：</w:t>
      </w:r>
      <w:r>
        <w:t>主要培养具有特色经济林栽培、林果产品加工及经济林产品贮藏、运输与销售等方面专业知识和技能，能在林业、农业等基层单位或相关企业从事经济林良种繁育和</w:t>
      </w:r>
      <w:r>
        <w:rPr>
          <w:rFonts w:hint="eastAsia"/>
          <w:lang w:eastAsia="zh-CN"/>
        </w:rPr>
        <w:t>种植</w:t>
      </w:r>
      <w:bookmarkStart w:id="23" w:name="_GoBack"/>
      <w:bookmarkEnd w:id="23"/>
      <w:r>
        <w:t>、加工等工作，以及相关的技术推广工作的高级应用型人才。</w:t>
      </w:r>
    </w:p>
    <w:p>
      <w:pPr>
        <w:ind w:firstLine="648"/>
        <w:rPr>
          <w:rFonts w:ascii="宋体" w:hAnsi="宋体"/>
          <w:szCs w:val="32"/>
        </w:rPr>
      </w:pPr>
      <w:r>
        <w:rPr>
          <w:rFonts w:hint="eastAsia" w:ascii="宋体" w:hAnsi="宋体"/>
          <w:szCs w:val="32"/>
        </w:rPr>
        <w:t>（6）药用植物栽培和利用：培养具有坚实的药用植物栽培学理论基础知识，系统的专业知识和熟练的技能的专业学位硕士。能熟练地使用计算机，掌握所从事研究方向的试验设计、实验技术，具有独立从事科学研究的能力。能在高等院校、科研院所、企事业及行政管理部门，从事中药材产业基地建设、中药材规范化种植、中药材产品研发、中药材资源保护、中药材营销和管理等方面的教学、科研、科技推广或科技管理工作。</w:t>
      </w:r>
    </w:p>
    <w:p>
      <w:pPr>
        <w:ind w:firstLine="648"/>
        <w:rPr>
          <w:rFonts w:ascii="宋体" w:hAnsi="宋体"/>
          <w:szCs w:val="32"/>
          <w:highlight w:val="yellow"/>
        </w:rPr>
      </w:pPr>
      <w:r>
        <w:rPr>
          <w:rFonts w:hint="eastAsia" w:ascii="宋体" w:hAnsi="宋体"/>
          <w:szCs w:val="32"/>
        </w:rPr>
        <w:t>（7）植物生长发育与调控: 围绕林木生长发育的重大科学问题与技术前沿，以服务于林木遗传育种为核心，开展前沿性基础研究及应用基础研究。从分子、生理等角度揭示林木生长发育过程的分子调控基础，为林业可持续性发展提供先进知识和技术。主要培养林木分子遗传与功能基因组研究、林木分子生理与发育研究、林木发育与环境互作的分子机制、林木重要性状的分子设计育种等方向的科研及应用人才。</w:t>
      </w:r>
    </w:p>
    <w:p>
      <w:pPr>
        <w:ind w:firstLine="648"/>
        <w:rPr>
          <w:rFonts w:ascii="宋体" w:hAnsi="宋体"/>
          <w:szCs w:val="32"/>
        </w:rPr>
      </w:pPr>
      <w:r>
        <w:rPr>
          <w:rFonts w:hint="eastAsia" w:ascii="宋体" w:hAnsi="宋体"/>
          <w:szCs w:val="32"/>
        </w:rPr>
        <w:t>（8）森林康养工程：</w:t>
      </w:r>
      <w:r>
        <w:t>围绕当前“新林科”的最新科学问题与技术前沿，以促进乡村振兴战略目标为核心，开展林学、医学、心理学等多学科交叉融合的应用型研究。培养学生具备森林疗愈、森林旅游、生态旅游、环境心理调节、植物资源开发与利用等方面的知识和技能，能够在国家公园、自然保护区、森林公园、森林康养基地、自然教育机构，或相关企事业单位从事森林康养项目设计与管理、生态旅游规划与实践、森林植物与环境利用等方面工作的复合应用型专门人才。</w:t>
      </w:r>
    </w:p>
    <w:p>
      <w:pPr>
        <w:pStyle w:val="4"/>
      </w:pPr>
      <w:bookmarkStart w:id="4" w:name="_Toc89106761"/>
      <w:r>
        <w:rPr>
          <w:rFonts w:hint="eastAsia"/>
        </w:rPr>
        <w:t>2师资队伍</w:t>
      </w:r>
      <w:bookmarkEnd w:id="4"/>
    </w:p>
    <w:p>
      <w:pPr>
        <w:ind w:firstLine="648"/>
        <w:rPr>
          <w:szCs w:val="32"/>
        </w:rPr>
      </w:pPr>
      <w:r>
        <w:rPr>
          <w:szCs w:val="32"/>
        </w:rPr>
        <w:t>该学位点实行双导师制，配有校内专任导师100人，其中，正高级职称26人，副高级职称42人，中级职称32人。拥有博士学位的教师87人，占87%，具有实务经历的教师有95人，占95%。教师学缘结构多元，有40人最高学位非本单位获得，占60.6%，他们主要毕业于美国加州大学、密西根州立大学、日本京都大学、西班牙马德里大学、澳大利亚格里菲斯大学、台湾中兴大学、中国科学院大学、复旦大学、南开大学、浙江大学、西北农林科技大学、北京林业大学和南京林业大学等国内外知名高校。</w:t>
      </w:r>
    </w:p>
    <w:p>
      <w:pPr>
        <w:ind w:firstLine="648"/>
        <w:rPr>
          <w:szCs w:val="32"/>
        </w:rPr>
      </w:pPr>
      <w:r>
        <w:rPr>
          <w:szCs w:val="32"/>
        </w:rPr>
        <w:t>聘有校外导师91人，其中正高级24人，副高级61人，其中来自林业生产一线的企事业单位人员65人，占71.42%，林业管理相关党政机关16人，占17.58%。</w:t>
      </w:r>
    </w:p>
    <w:p>
      <w:pPr>
        <w:ind w:firstLine="648"/>
        <w:jc w:val="center"/>
        <w:rPr>
          <w:szCs w:val="32"/>
        </w:rPr>
      </w:pPr>
      <w:r>
        <w:rPr>
          <w:rFonts w:hint="eastAsia"/>
          <w:szCs w:val="32"/>
        </w:rPr>
        <w:t>林业专业学导师情况及校外导师分布情况</w:t>
      </w:r>
      <w:r>
        <w:drawing>
          <wp:anchor distT="0" distB="0" distL="114300" distR="114300" simplePos="0" relativeHeight="251659264" behindDoc="0" locked="0" layoutInCell="1" allowOverlap="1">
            <wp:simplePos x="0" y="0"/>
            <wp:positionH relativeFrom="column">
              <wp:posOffset>0</wp:posOffset>
            </wp:positionH>
            <wp:positionV relativeFrom="paragraph">
              <wp:posOffset>251460</wp:posOffset>
            </wp:positionV>
            <wp:extent cx="2479040" cy="236791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drawing>
          <wp:anchor distT="0" distB="0" distL="114300" distR="114300" simplePos="0" relativeHeight="251660288" behindDoc="0" locked="0" layoutInCell="1" allowOverlap="1">
            <wp:simplePos x="0" y="0"/>
            <wp:positionH relativeFrom="column">
              <wp:posOffset>2555240</wp:posOffset>
            </wp:positionH>
            <wp:positionV relativeFrom="paragraph">
              <wp:posOffset>251460</wp:posOffset>
            </wp:positionV>
            <wp:extent cx="2203450" cy="2366645"/>
            <wp:effectExtent l="0" t="0" r="635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4"/>
      </w:pPr>
      <w:bookmarkStart w:id="5" w:name="_Toc89106762"/>
      <w:r>
        <w:t>3</w:t>
      </w:r>
      <w:r>
        <w:rPr>
          <w:rFonts w:hint="eastAsia"/>
        </w:rPr>
        <w:t>教学科学</w:t>
      </w:r>
      <w:bookmarkEnd w:id="5"/>
    </w:p>
    <w:p>
      <w:pPr>
        <w:spacing w:line="360" w:lineRule="auto"/>
        <w:ind w:firstLine="480" w:firstLineChars="200"/>
        <w:rPr>
          <w:szCs w:val="32"/>
        </w:rPr>
      </w:pPr>
      <w:r>
        <w:rPr>
          <w:rFonts w:hint="eastAsia"/>
          <w:szCs w:val="32"/>
        </w:rPr>
        <w:t>本学位点课程教学积极引入校外资源，强调案例教学。</w:t>
      </w:r>
      <w:r>
        <w:rPr>
          <w:rFonts w:hint="eastAsia" w:hAnsi="宋体"/>
          <w:color w:val="000000"/>
        </w:rPr>
        <w:t>创新课程建设，校外生产一线导师参与授课的学位课达到</w:t>
      </w:r>
      <w:r>
        <w:rPr>
          <w:rFonts w:hint="eastAsia" w:hAnsi="宋体"/>
        </w:rPr>
        <w:t>3</w:t>
      </w:r>
      <w:r>
        <w:rPr>
          <w:rFonts w:hAnsi="宋体"/>
        </w:rPr>
        <w:t>5</w:t>
      </w:r>
      <w:r>
        <w:rPr>
          <w:rFonts w:hint="eastAsia" w:hAnsi="宋体"/>
        </w:rPr>
        <w:t>%，将生产一线的实际发生案例引入课堂教学，入选全国林业专业学位教学案例库3项，自建教学案例库1个，收集教学案例1</w:t>
      </w:r>
      <w:r>
        <w:rPr>
          <w:rFonts w:hAnsi="宋体"/>
        </w:rPr>
        <w:t>0</w:t>
      </w:r>
      <w:r>
        <w:rPr>
          <w:rFonts w:hint="eastAsia" w:hAnsi="宋体"/>
        </w:rPr>
        <w:t>余项。</w:t>
      </w:r>
    </w:p>
    <w:p>
      <w:pPr>
        <w:spacing w:line="360" w:lineRule="auto"/>
        <w:ind w:firstLine="480" w:firstLineChars="200"/>
        <w:rPr>
          <w:szCs w:val="32"/>
        </w:rPr>
      </w:pPr>
      <w:r>
        <w:rPr>
          <w:rFonts w:hint="eastAsia"/>
          <w:szCs w:val="32"/>
        </w:rPr>
        <w:t>该学位点依托国家林业局杉木工程技术研究中心、国家林业局福建长汀红壤丘陵生态系统定位观测研究站、生态公益林重大有害生物防控福建省高校重点实验室等15个省部级科研平台，有面积达4.7万亩的2个校外教学林场，科研用房10900 m2，科研设备总值近11773.6万元，2</w:t>
      </w:r>
      <w:r>
        <w:rPr>
          <w:szCs w:val="32"/>
        </w:rPr>
        <w:t>020</w:t>
      </w:r>
      <w:r>
        <w:rPr>
          <w:rFonts w:hint="eastAsia"/>
          <w:szCs w:val="32"/>
        </w:rPr>
        <w:t>年纵向科研经费XX万元，横向科研经费3</w:t>
      </w:r>
      <w:r>
        <w:rPr>
          <w:szCs w:val="32"/>
        </w:rPr>
        <w:t>32.95</w:t>
      </w:r>
      <w:r>
        <w:rPr>
          <w:rFonts w:hint="eastAsia"/>
          <w:szCs w:val="32"/>
        </w:rPr>
        <w:t>万元。学位点建有1个省级协同创新中心，2个省级科研创新团队，2个省级教学团队，4支省级研究生导师团队。有力地支撑了该学位点学生高质量培养需求。</w:t>
      </w:r>
    </w:p>
    <w:p>
      <w:pPr>
        <w:spacing w:line="360" w:lineRule="auto"/>
        <w:ind w:firstLine="480" w:firstLineChars="200"/>
        <w:rPr>
          <w:szCs w:val="32"/>
        </w:rPr>
      </w:pPr>
      <w:r>
        <w:rPr>
          <w:rFonts w:hint="eastAsia"/>
          <w:szCs w:val="32"/>
        </w:rPr>
        <w:t>截止2</w:t>
      </w:r>
      <w:r>
        <w:rPr>
          <w:szCs w:val="32"/>
        </w:rPr>
        <w:t>020</w:t>
      </w:r>
      <w:r>
        <w:rPr>
          <w:rFonts w:hint="eastAsia"/>
          <w:szCs w:val="32"/>
        </w:rPr>
        <w:t>年，林业专业学位学生在国内外期刊发表学术论文300余篇，其中第一作者发表三类高质量论文20篇，获得国家专利授权20余项，学生创新能力培养取得良好成效，涌现出《杉木无性系组培快速繁殖外植体消毒》、《金线莲林下仿生设施栽培技术》、《花绒寄甲林间释放及种群监测装置》等一批实用性高的林业推广成果。学生获得省级以上优秀学位论文12篇，校级优秀学位论文8篇。获中国国际“互联网+”大学生创新创业大赛。中国-海峡项目成果交易会抖音大赛等各类竞赛奖励50多人次。</w:t>
      </w:r>
    </w:p>
    <w:p>
      <w:pPr>
        <w:pStyle w:val="4"/>
      </w:pPr>
      <w:bookmarkStart w:id="6" w:name="_Toc89106763"/>
      <w:r>
        <w:t>4</w:t>
      </w:r>
      <w:r>
        <w:rPr>
          <w:rFonts w:hint="eastAsia"/>
        </w:rPr>
        <w:t>管理服务体系</w:t>
      </w:r>
      <w:bookmarkEnd w:id="6"/>
    </w:p>
    <w:p>
      <w:pPr>
        <w:spacing w:line="360" w:lineRule="auto"/>
        <w:ind w:firstLine="480" w:firstLineChars="200"/>
        <w:rPr>
          <w:szCs w:val="32"/>
        </w:rPr>
      </w:pPr>
      <w:r>
        <w:rPr>
          <w:rFonts w:hint="eastAsia"/>
          <w:szCs w:val="32"/>
        </w:rPr>
        <w:t>学校成立了校专业学位教育指导委员会，主要负责专业硕士培养的指导和咨询等工作；研究生院设有专业学位管理办公室，负责全校专业学位日常管理工作。学院成立了林业硕士专业学位教育指导委员会，负责培养方案制定和咨询，成立了林业硕士专业学位研究生实践工作领导小组，负责专业实践政策制定和协调，学院研究生管理办公室，配备有专兼职教务员2名和专兼职辅导员3名，负责林业硕士日常培养和管理。学院针对研究生关注点奖、助、贷奖助学体系都有相关规章和实施细则，有力地保障了学生的合法权益，2</w:t>
      </w:r>
      <w:r>
        <w:rPr>
          <w:szCs w:val="32"/>
        </w:rPr>
        <w:t>020</w:t>
      </w:r>
      <w:r>
        <w:rPr>
          <w:rFonts w:hint="eastAsia"/>
          <w:szCs w:val="32"/>
        </w:rPr>
        <w:t>年发放国家助学金、学业奖学金、总计1</w:t>
      </w:r>
      <w:r>
        <w:rPr>
          <w:szCs w:val="32"/>
        </w:rPr>
        <w:t>67</w:t>
      </w:r>
      <w:r>
        <w:rPr>
          <w:rFonts w:hint="eastAsia"/>
          <w:szCs w:val="32"/>
        </w:rPr>
        <w:t>万，资助2</w:t>
      </w:r>
      <w:r>
        <w:rPr>
          <w:szCs w:val="32"/>
        </w:rPr>
        <w:t>31</w:t>
      </w:r>
      <w:r>
        <w:rPr>
          <w:rFonts w:hint="eastAsia"/>
          <w:szCs w:val="32"/>
        </w:rPr>
        <w:t>人。本学位点有36项制度适用于林业硕士的管理，其中为专业学位研究生专门出台的制度有9项。同时，研究生培养过程中产生的重要档案均由专人编码存档，建立了“研究生招生管理系统”“研究生教育管理信息系统”和“学位信息采集系统”。总体上我校林业硕士管理机构健全，制度完善，工作有章可循，易于落实，实施效果好，在校研究生满意度连续两年达到100%。</w:t>
      </w:r>
    </w:p>
    <w:p>
      <w:pPr>
        <w:pStyle w:val="3"/>
      </w:pPr>
      <w:bookmarkStart w:id="7" w:name="_Toc89106764"/>
      <w:r>
        <w:rPr>
          <w:rFonts w:hint="eastAsia"/>
        </w:rPr>
        <w:t>（三）人才培养</w:t>
      </w:r>
      <w:bookmarkEnd w:id="7"/>
    </w:p>
    <w:p>
      <w:pPr>
        <w:pStyle w:val="4"/>
      </w:pPr>
      <w:bookmarkStart w:id="8" w:name="_Toc89106765"/>
      <w:r>
        <w:rPr>
          <w:rFonts w:hint="eastAsia"/>
        </w:rPr>
        <w:t>1思想政治教育</w:t>
      </w:r>
      <w:bookmarkEnd w:id="8"/>
    </w:p>
    <w:p>
      <w:pPr>
        <w:ind w:firstLine="420"/>
      </w:pPr>
      <w:r>
        <w:rPr>
          <w:rFonts w:eastAsiaTheme="minorEastAsia"/>
        </w:rPr>
        <w:t>学位点在培养全过程融入思政教育元素。</w:t>
      </w:r>
      <w:r>
        <w:rPr>
          <w:rFonts w:hint="eastAsia" w:eastAsiaTheme="minorEastAsia"/>
        </w:rPr>
        <w:t>第一，</w:t>
      </w:r>
      <w:r>
        <w:rPr>
          <w:rFonts w:eastAsiaTheme="minorEastAsia"/>
          <w:szCs w:val="32"/>
        </w:rPr>
        <w:t>加强思政队伍建设，按1:350比例配备专职思政理论课教师，按标准配足学院专职辅导员。</w:t>
      </w:r>
      <w:r>
        <w:rPr>
          <w:rFonts w:hint="eastAsia" w:eastAsiaTheme="minorEastAsia"/>
          <w:szCs w:val="32"/>
        </w:rPr>
        <w:t>第二，</w:t>
      </w:r>
      <w:r>
        <w:rPr>
          <w:rFonts w:eastAsiaTheme="minorEastAsia"/>
          <w:szCs w:val="32"/>
        </w:rPr>
        <w:t>将学科文化融入林业硕士培养，用80年积淀形成的“树木树人，厚德求新”学科文化和</w:t>
      </w:r>
      <w:r>
        <w:rPr>
          <w:rFonts w:hint="eastAsia" w:eastAsiaTheme="minorEastAsia"/>
          <w:szCs w:val="32"/>
        </w:rPr>
        <w:t>“</w:t>
      </w:r>
      <w:r>
        <w:rPr>
          <w:rFonts w:eastAsiaTheme="minorEastAsia"/>
          <w:szCs w:val="32"/>
        </w:rPr>
        <w:t>久久为功，科研报国</w:t>
      </w:r>
      <w:r>
        <w:rPr>
          <w:rFonts w:hint="eastAsia" w:eastAsiaTheme="minorEastAsia"/>
          <w:szCs w:val="32"/>
        </w:rPr>
        <w:t>”</w:t>
      </w:r>
      <w:r>
        <w:rPr>
          <w:rFonts w:eastAsiaTheme="minorEastAsia"/>
          <w:szCs w:val="32"/>
        </w:rPr>
        <w:t>的</w:t>
      </w:r>
      <w:r>
        <w:rPr>
          <w:rFonts w:hint="eastAsia" w:eastAsiaTheme="minorEastAsia"/>
          <w:szCs w:val="32"/>
        </w:rPr>
        <w:t>“</w:t>
      </w:r>
      <w:r>
        <w:rPr>
          <w:rFonts w:eastAsiaTheme="minorEastAsia"/>
          <w:szCs w:val="32"/>
        </w:rPr>
        <w:t>洋林精神</w:t>
      </w:r>
      <w:r>
        <w:rPr>
          <w:rFonts w:hint="eastAsia" w:eastAsiaTheme="minorEastAsia"/>
          <w:szCs w:val="32"/>
        </w:rPr>
        <w:t>”</w:t>
      </w:r>
      <w:r>
        <w:rPr>
          <w:rFonts w:eastAsiaTheme="minorEastAsia"/>
          <w:szCs w:val="32"/>
        </w:rPr>
        <w:t>，开展专业教育，培养学生献身林业精神，同时开展先进人物引领等爱国主义教育活动，培养社会主义核心价值观。</w:t>
      </w:r>
      <w:r>
        <w:rPr>
          <w:rFonts w:hint="eastAsia" w:eastAsiaTheme="minorEastAsia"/>
          <w:szCs w:val="32"/>
        </w:rPr>
        <w:t>第三，</w:t>
      </w:r>
      <w:r>
        <w:rPr>
          <w:rFonts w:hint="eastAsia"/>
          <w:szCs w:val="32"/>
        </w:rPr>
        <w:t>是将党建工作融入学位点发展，实施教师党支部书记“双带头人”培育工程，按导师团队设置研究生党支部，并与教工党支部对接共建，开展样板支部创建活动，形成以教工党建促进导师团队思政的“全员”育人格局。第四，深化课程思政改革，设立研究生课程思政示范课，育人育才相结合。学位点已经形成思政教育贯穿学位点、专业、教材和管理体系的“全过程、全方位”育人格局。</w:t>
      </w:r>
    </w:p>
    <w:p>
      <w:pPr>
        <w:pStyle w:val="4"/>
      </w:pPr>
      <w:bookmarkStart w:id="9" w:name="_Toc89106766"/>
      <w:r>
        <w:rPr>
          <w:rFonts w:hint="eastAsia"/>
        </w:rPr>
        <w:t>2师德师风建设</w:t>
      </w:r>
      <w:bookmarkEnd w:id="9"/>
    </w:p>
    <w:p>
      <w:pPr>
        <w:ind w:firstLine="420"/>
      </w:pPr>
      <w:r>
        <w:rPr>
          <w:rFonts w:hint="eastAsia"/>
        </w:rPr>
        <w:t>将师德师风建设作为学位点建设的重要内容，出台多项政策举措。</w:t>
      </w:r>
      <w:r>
        <w:rPr>
          <w:rFonts w:hint="eastAsia"/>
          <w:szCs w:val="32"/>
        </w:rPr>
        <w:t>院党委成立理论学习领导小组，组织教师深入学习新思想，提升教师“为党育人，为国育才”的使命意识。出台《师德师风和意识形态测评考核实施细则》、《师德建设长效机制实施办法》、《研究生导师立德树人职责实施细则》和《教师职业行为负面清单及师德失范行为处理办法》等制度，形成涵盖师德教育、测评考核、监督奖惩全过程的制度体系，将师德师风建设贯穿教师管理的全过程，坚持理论学习、思想认识、制度建设“三到位”，举办新林科教育思想大讨论和红树林讲坛等活动，营造潜心研究、追求卓越、风清气正的教书育人环境。实行管理工作精细化、监督过程规范化、氛围营造常态化的“三化管理”，在招聘教师和教师评价中严把政治关和师德关。</w:t>
      </w:r>
    </w:p>
    <w:p>
      <w:pPr>
        <w:pStyle w:val="4"/>
      </w:pPr>
      <w:bookmarkStart w:id="10" w:name="_Toc89106767"/>
      <w:r>
        <w:rPr>
          <w:rFonts w:hint="eastAsia"/>
        </w:rPr>
        <w:t>3招生选拔</w:t>
      </w:r>
      <w:bookmarkEnd w:id="10"/>
    </w:p>
    <w:p>
      <w:pPr>
        <w:snapToGrid w:val="0"/>
        <w:spacing w:before="156" w:beforeLines="50" w:line="360" w:lineRule="auto"/>
        <w:ind w:firstLine="480" w:firstLineChars="200"/>
        <w:rPr>
          <w:rFonts w:eastAsiaTheme="minorEastAsia"/>
          <w:szCs w:val="32"/>
        </w:rPr>
      </w:pPr>
      <w:r>
        <w:rPr>
          <w:rFonts w:eastAsiaTheme="minorEastAsia"/>
        </w:rPr>
        <w:t>2020年，本学位点招收</w:t>
      </w:r>
      <w:r>
        <w:rPr>
          <w:rFonts w:eastAsiaTheme="minorEastAsia"/>
          <w:color w:val="000000"/>
        </w:rPr>
        <w:t>全日制林业硕士90人，非全日制9人，授予学位55人。</w:t>
      </w:r>
      <w:r>
        <w:rPr>
          <w:rFonts w:eastAsiaTheme="minorEastAsia"/>
        </w:rPr>
        <w:t>学位点严格招生选拔程序和规章制度，成了招生工作小组，设立第一责任人，严格按照</w:t>
      </w:r>
      <w:r>
        <w:rPr>
          <w:rFonts w:eastAsiaTheme="minorEastAsia"/>
          <w:szCs w:val="32"/>
        </w:rPr>
        <w:t>《福建农林大学林学院招收研究生招生工作办法》，招考各环节实行实时录像，成绩与录取及时公示，严慎细实做好研究生考试招生工作，确保公开、公平、公正。</w:t>
      </w:r>
      <w:r>
        <w:rPr>
          <w:rFonts w:hint="eastAsia" w:eastAsiaTheme="minorEastAsia"/>
          <w:szCs w:val="32"/>
        </w:rPr>
        <w:t>2</w:t>
      </w:r>
      <w:r>
        <w:rPr>
          <w:rFonts w:eastAsiaTheme="minorEastAsia"/>
          <w:szCs w:val="32"/>
        </w:rPr>
        <w:t>020</w:t>
      </w:r>
      <w:r>
        <w:rPr>
          <w:rFonts w:hint="eastAsia" w:eastAsiaTheme="minorEastAsia"/>
          <w:szCs w:val="32"/>
        </w:rPr>
        <w:t>年未发生因招生导致的投诉、举报等舆情。</w:t>
      </w:r>
    </w:p>
    <w:p>
      <w:pPr>
        <w:pStyle w:val="4"/>
      </w:pPr>
      <w:bookmarkStart w:id="11" w:name="_Toc89106768"/>
      <w:r>
        <w:rPr>
          <w:rFonts w:hint="eastAsia"/>
        </w:rPr>
        <w:t>4课程教学</w:t>
      </w:r>
      <w:bookmarkEnd w:id="11"/>
    </w:p>
    <w:p>
      <w:pPr>
        <w:ind w:firstLine="420"/>
      </w:pPr>
      <w:r>
        <w:rPr>
          <w:rFonts w:hint="eastAsia"/>
        </w:rPr>
        <w:t>2</w:t>
      </w:r>
      <w:r>
        <w:t>020</w:t>
      </w:r>
      <w:r>
        <w:rPr>
          <w:rFonts w:hint="eastAsia"/>
        </w:rPr>
        <w:t>年，本学位点组织进行林业硕士研究生课程修订。引入国际知名教授开设《实验数据与统计分析》和《林业生物技术专题》课程，邀请国际知名学者来校讲授《林业前沿系列讲座》等课程。开拓学生视野，展望林业科技最前沿。利用福建拥有全国最多涉林上市企业的优势，建设16个产教融合实践教学基地，将课堂迁入林间，边学边用，强化学习效果。积极引入多位基层技术骨干或管理人员参与课堂教学，已参与1</w:t>
      </w:r>
      <w:r>
        <w:t>0</w:t>
      </w:r>
      <w:r>
        <w:rPr>
          <w:rFonts w:hint="eastAsia"/>
        </w:rPr>
        <w:t>门专业课程，带来生产实践第一线知识技能。建立“三段检查、三级督导、多方评教”的教学质量督导监控体系，根据校院系教学检查督导和学生的反馈进行综合评价，将评价结果与教师绩效工资、职称晋升和年度考核相挂钩，教学质量综合评价前20%教师的教学绩效上浮50%，对全面保障和提升教学质量发挥了重要的导向作用。</w:t>
      </w:r>
    </w:p>
    <w:p>
      <w:pPr>
        <w:pStyle w:val="4"/>
      </w:pPr>
      <w:bookmarkStart w:id="12" w:name="_Toc89106769"/>
      <w:r>
        <w:rPr>
          <w:rFonts w:hint="eastAsia"/>
        </w:rPr>
        <w:t>5专业锻炼</w:t>
      </w:r>
      <w:bookmarkEnd w:id="12"/>
    </w:p>
    <w:p>
      <w:pPr>
        <w:autoSpaceDE w:val="0"/>
        <w:autoSpaceDN w:val="0"/>
        <w:adjustRightInd w:val="0"/>
        <w:ind w:firstLine="420"/>
        <w:jc w:val="left"/>
        <w:rPr>
          <w:rFonts w:ascii="宋体" w:cs="宋体" w:hAnsiTheme="minorHAnsi"/>
          <w:kern w:val="0"/>
          <w:szCs w:val="21"/>
        </w:rPr>
      </w:pPr>
      <w:r>
        <w:rPr>
          <w:rFonts w:hint="eastAsia" w:ascii="宋体" w:cs="宋体" w:hAnsiTheme="minorHAnsi"/>
          <w:kern w:val="0"/>
          <w:szCs w:val="21"/>
        </w:rPr>
        <w:t>利用福建拥有全国最多涉林上市企业的优势，建设</w:t>
      </w:r>
      <w:r>
        <w:rPr>
          <w:rFonts w:ascii="宋体" w:cs="宋体" w:hAnsiTheme="minorHAnsi"/>
          <w:kern w:val="0"/>
          <w:szCs w:val="21"/>
        </w:rPr>
        <w:t>16</w:t>
      </w:r>
      <w:r>
        <w:rPr>
          <w:rFonts w:hint="eastAsia" w:ascii="宋体" w:cs="宋体" w:hAnsiTheme="minorHAnsi"/>
          <w:kern w:val="0"/>
          <w:szCs w:val="21"/>
        </w:rPr>
        <w:t>个产教融合实践教学基地，聘请9</w:t>
      </w:r>
      <w:r>
        <w:rPr>
          <w:rFonts w:ascii="宋体" w:cs="宋体" w:hAnsiTheme="minorHAnsi"/>
          <w:kern w:val="0"/>
          <w:szCs w:val="21"/>
        </w:rPr>
        <w:t>1</w:t>
      </w:r>
      <w:r>
        <w:rPr>
          <w:rFonts w:hint="eastAsia" w:ascii="宋体" w:cs="宋体" w:hAnsiTheme="minorHAnsi"/>
          <w:kern w:val="0"/>
          <w:szCs w:val="21"/>
        </w:rPr>
        <w:t>多位基层技术骨干或管理人员协同指导实践教学，满足所有学生专业实践锻炼需要，每位学生需进行至少6个月的专业实践锻炼，培养学生职业能力。发挥拥有两个校属教学林场的优势，开展集产教于一体的系统模块化实践教学。通过评选优秀专业实践锻炼报告，增强学生专业实践锻炼的积极性。2</w:t>
      </w:r>
      <w:r>
        <w:rPr>
          <w:rFonts w:ascii="宋体" w:cs="宋体" w:hAnsiTheme="minorHAnsi"/>
          <w:kern w:val="0"/>
          <w:szCs w:val="21"/>
        </w:rPr>
        <w:t>020</w:t>
      </w:r>
      <w:r>
        <w:rPr>
          <w:rFonts w:hint="eastAsia" w:ascii="宋体" w:cs="宋体" w:hAnsiTheme="minorHAnsi"/>
          <w:kern w:val="0"/>
          <w:szCs w:val="21"/>
        </w:rPr>
        <w:t>年评选出《</w:t>
      </w:r>
      <w:r>
        <w:rPr>
          <w:rFonts w:hint="eastAsia" w:ascii="宋体" w:cs="宋体" w:hAnsiTheme="minorHAnsi"/>
          <w:kern w:val="0"/>
          <w:sz w:val="21"/>
          <w:szCs w:val="21"/>
        </w:rPr>
        <w:t>甘肃省定西市安定区不同造林模式评价</w:t>
      </w:r>
      <w:r>
        <w:rPr>
          <w:rFonts w:hint="eastAsia" w:ascii="宋体" w:cs="宋体" w:hAnsiTheme="minorHAnsi"/>
          <w:kern w:val="0"/>
          <w:szCs w:val="21"/>
        </w:rPr>
        <w:t>》、《</w:t>
      </w:r>
      <w:r>
        <w:rPr>
          <w:rFonts w:hint="eastAsia" w:ascii="宋体" w:cs="宋体" w:hAnsiTheme="minorHAnsi"/>
          <w:kern w:val="0"/>
          <w:sz w:val="21"/>
          <w:szCs w:val="21"/>
        </w:rPr>
        <w:t>杉木组培苗工厂化生产</w:t>
      </w:r>
      <w:r>
        <w:rPr>
          <w:rFonts w:hint="eastAsia" w:ascii="宋体" w:cs="宋体" w:hAnsiTheme="minorHAnsi"/>
          <w:kern w:val="0"/>
          <w:szCs w:val="21"/>
        </w:rPr>
        <w:t>》等优秀实践报告。学院党委书记、院长亲自带队考察学位点实践基地，对基地发展状况、人员队伍、软硬件条件等方面进行深入调研，并对实践基地实行动态评价、周期考核，评价效果不好的基地停止合作。</w:t>
      </w:r>
    </w:p>
    <w:p>
      <w:pPr>
        <w:autoSpaceDE w:val="0"/>
        <w:autoSpaceDN w:val="0"/>
        <w:adjustRightInd w:val="0"/>
        <w:ind w:firstLine="420"/>
        <w:jc w:val="left"/>
      </w:pPr>
      <w:r>
        <w:rPr>
          <w:rFonts w:hint="eastAsia" w:ascii="宋体" w:cs="宋体" w:hAnsiTheme="minorHAnsi"/>
          <w:kern w:val="0"/>
          <w:szCs w:val="21"/>
        </w:rPr>
        <w:t>学生培养与新业态产业发展融合共进，让学生充分参与到企业的规划发展中，实现双方共同成长。学位点研究生积极参与到武夷山国家公园管理规划、福建森林康养产业发展等国家林业新业态战略发展的科技攻关中。</w:t>
      </w:r>
    </w:p>
    <w:p>
      <w:pPr>
        <w:ind w:firstLine="480" w:firstLineChars="200"/>
        <w:rPr>
          <w:rFonts w:ascii="仿宋_GB2312" w:hAnsi="黑体" w:eastAsia="仿宋_GB2312" w:cs="黑体"/>
          <w:bCs/>
          <w:szCs w:val="32"/>
        </w:rPr>
      </w:pPr>
    </w:p>
    <w:p>
      <w:pPr>
        <w:pStyle w:val="3"/>
      </w:pPr>
      <w:bookmarkStart w:id="13" w:name="_Toc89106770"/>
      <w:r>
        <w:rPr>
          <w:rFonts w:hint="eastAsia"/>
        </w:rPr>
        <w:t>（四）质量监控</w:t>
      </w:r>
      <w:bookmarkEnd w:id="13"/>
    </w:p>
    <w:p>
      <w:pPr>
        <w:ind w:firstLine="480" w:firstLineChars="200"/>
        <w:rPr>
          <w:rFonts w:eastAsiaTheme="minorEastAsia"/>
          <w:color w:val="000000"/>
        </w:rPr>
      </w:pPr>
      <w:r>
        <w:rPr>
          <w:rFonts w:eastAsiaTheme="minorEastAsia"/>
          <w:color w:val="000000"/>
        </w:rPr>
        <w:t>根据《福建农林大学林林业硕士专业学位授予标准》、《福建农林大学林业专业学位研究生培养方案》，研究生培养环节包括课程学习、实践教学、中期考核、实践考核、论文开题、论文研究、论文查重、论文盲审和毕业答辩等环节，对每个环节没有达到培养要求的研究生，均需要做延迟毕业或退学处理。</w:t>
      </w:r>
    </w:p>
    <w:p>
      <w:pPr>
        <w:ind w:firstLine="480" w:firstLineChars="200"/>
        <w:rPr>
          <w:rFonts w:eastAsiaTheme="minorEastAsia"/>
          <w:color w:val="000000"/>
        </w:rPr>
      </w:pPr>
      <w:r>
        <w:rPr>
          <w:rFonts w:eastAsiaTheme="minorEastAsia"/>
          <w:color w:val="000000"/>
        </w:rPr>
        <w:t>本学位点度进一步加强研究生培养质量保障，对中期考核或实践考核不合格的学生做出退学或延期毕业处理；对毕业论文实行100%学术不端行为检查，查重率高于20%的毕业论文一律给予延期半年答辩处理；对学位论文100%实行校外双盲送审，对送审不通过的均给予延期毕业处理。最近几年每年因为上述原因而延期毕业的研究生约占2.2%。</w:t>
      </w:r>
    </w:p>
    <w:p>
      <w:pPr>
        <w:ind w:firstLine="640" w:firstLineChars="200"/>
        <w:rPr>
          <w:rFonts w:ascii="仿宋_GB2312" w:hAnsi="黑体" w:eastAsia="仿宋_GB2312" w:cs="黑体"/>
          <w:bCs/>
          <w:sz w:val="32"/>
          <w:szCs w:val="32"/>
        </w:rPr>
      </w:pPr>
    </w:p>
    <w:p>
      <w:pPr>
        <w:pStyle w:val="2"/>
      </w:pPr>
      <w:bookmarkStart w:id="14" w:name="_Toc89106771"/>
      <w:r>
        <w:rPr>
          <w:rFonts w:hint="eastAsia"/>
        </w:rPr>
        <w:t>二、工作特色与成效</w:t>
      </w:r>
      <w:bookmarkEnd w:id="14"/>
    </w:p>
    <w:p>
      <w:pPr>
        <w:pStyle w:val="3"/>
      </w:pPr>
      <w:bookmarkStart w:id="15" w:name="_Toc89106772"/>
      <w:r>
        <w:rPr>
          <w:rFonts w:hint="eastAsia"/>
        </w:rPr>
        <w:t>（一）人才培养特色与优势</w:t>
      </w:r>
      <w:bookmarkEnd w:id="15"/>
    </w:p>
    <w:p>
      <w:pPr>
        <w:ind w:firstLine="480" w:firstLineChars="200"/>
        <w:rPr>
          <w:rFonts w:eastAsiaTheme="minorEastAsia"/>
          <w:color w:val="000000"/>
        </w:rPr>
      </w:pPr>
      <w:r>
        <w:rPr>
          <w:rFonts w:hint="eastAsia" w:eastAsiaTheme="minorEastAsia"/>
          <w:color w:val="000000"/>
        </w:rPr>
        <w:t>（</w:t>
      </w:r>
      <w:r>
        <w:rPr>
          <w:rFonts w:eastAsiaTheme="minorEastAsia"/>
          <w:color w:val="000000"/>
        </w:rPr>
        <w:t>1</w:t>
      </w:r>
      <w:r>
        <w:rPr>
          <w:rFonts w:hint="eastAsia" w:eastAsiaTheme="minorEastAsia"/>
          <w:color w:val="000000"/>
        </w:rPr>
        <w:t>）“案例教学</w:t>
      </w:r>
      <w:r>
        <w:rPr>
          <w:rFonts w:eastAsiaTheme="minorEastAsia"/>
          <w:color w:val="000000"/>
        </w:rPr>
        <w:t>+</w:t>
      </w:r>
      <w:r>
        <w:rPr>
          <w:rFonts w:hint="eastAsia" w:eastAsiaTheme="minorEastAsia"/>
          <w:color w:val="000000"/>
        </w:rPr>
        <w:t>双师课程”夯实课程质量</w:t>
      </w:r>
    </w:p>
    <w:p>
      <w:pPr>
        <w:ind w:firstLine="480" w:firstLineChars="200"/>
        <w:rPr>
          <w:rFonts w:eastAsiaTheme="minorEastAsia"/>
          <w:color w:val="000000"/>
        </w:rPr>
      </w:pPr>
      <w:r>
        <w:rPr>
          <w:rFonts w:hint="eastAsia" w:eastAsiaTheme="minorEastAsia"/>
          <w:color w:val="000000"/>
        </w:rPr>
        <w:t>设置了以案例教学为主的理论课，如《现代森林培育理论与技术》、《森林灾害防控技术及应用》等，3</w:t>
      </w:r>
      <w:r>
        <w:rPr>
          <w:rFonts w:eastAsiaTheme="minorEastAsia"/>
          <w:color w:val="000000"/>
        </w:rPr>
        <w:t>4</w:t>
      </w:r>
      <w:r>
        <w:rPr>
          <w:rFonts w:hint="eastAsia" w:eastAsiaTheme="minorEastAsia"/>
          <w:color w:val="000000"/>
        </w:rPr>
        <w:t>%的专业课由校内教师和校外专家共同授课，双师课程结合案例教学有效保障专业课程质量。</w:t>
      </w:r>
    </w:p>
    <w:p>
      <w:pPr>
        <w:ind w:firstLine="480" w:firstLineChars="200"/>
        <w:rPr>
          <w:rFonts w:eastAsiaTheme="minorEastAsia"/>
          <w:color w:val="000000"/>
        </w:rPr>
      </w:pPr>
      <w:r>
        <w:rPr>
          <w:rFonts w:hint="eastAsia" w:eastAsiaTheme="minorEastAsia"/>
          <w:color w:val="000000"/>
        </w:rPr>
        <w:t>（</w:t>
      </w:r>
      <w:r>
        <w:rPr>
          <w:rFonts w:eastAsiaTheme="minorEastAsia"/>
          <w:color w:val="000000"/>
        </w:rPr>
        <w:t>2</w:t>
      </w:r>
      <w:r>
        <w:rPr>
          <w:rFonts w:hint="eastAsia" w:eastAsiaTheme="minorEastAsia"/>
          <w:color w:val="000000"/>
        </w:rPr>
        <w:t>）“科研平台</w:t>
      </w:r>
      <w:r>
        <w:rPr>
          <w:rFonts w:eastAsiaTheme="minorEastAsia"/>
          <w:color w:val="000000"/>
        </w:rPr>
        <w:t>+</w:t>
      </w:r>
      <w:r>
        <w:rPr>
          <w:rFonts w:hint="eastAsia" w:eastAsiaTheme="minorEastAsia"/>
          <w:color w:val="000000"/>
        </w:rPr>
        <w:t>实践基地”丰富培养资源</w:t>
      </w:r>
    </w:p>
    <w:p>
      <w:pPr>
        <w:ind w:firstLine="480" w:firstLineChars="200"/>
        <w:rPr>
          <w:rFonts w:eastAsiaTheme="minorEastAsia"/>
          <w:color w:val="000000"/>
        </w:rPr>
      </w:pPr>
      <w:r>
        <w:rPr>
          <w:rFonts w:hint="eastAsia" w:eastAsiaTheme="minorEastAsia"/>
          <w:color w:val="000000"/>
        </w:rPr>
        <w:t>学位点基于学校“学术特区”—海峡国际联合研究院的基础林学中心等多个一流科研平台，同时与福建省多家林业龙头企业共建</w:t>
      </w:r>
      <w:r>
        <w:rPr>
          <w:rFonts w:eastAsiaTheme="minorEastAsia"/>
          <w:color w:val="000000"/>
        </w:rPr>
        <w:t>16</w:t>
      </w:r>
      <w:r>
        <w:rPr>
          <w:rFonts w:hint="eastAsia" w:eastAsiaTheme="minorEastAsia"/>
          <w:color w:val="000000"/>
        </w:rPr>
        <w:t>个实践基地。学位点推进科研平台与实践基地对接，联合设立项目，丰富林业专业人才培养资源。</w:t>
      </w:r>
    </w:p>
    <w:p>
      <w:pPr>
        <w:ind w:firstLine="480" w:firstLineChars="200"/>
        <w:rPr>
          <w:rFonts w:eastAsiaTheme="minorEastAsia"/>
          <w:color w:val="000000"/>
        </w:rPr>
      </w:pPr>
      <w:r>
        <w:rPr>
          <w:rFonts w:hint="eastAsia" w:eastAsiaTheme="minorEastAsia"/>
          <w:color w:val="000000"/>
        </w:rPr>
        <w:t>（</w:t>
      </w:r>
      <w:r>
        <w:rPr>
          <w:rFonts w:eastAsiaTheme="minorEastAsia"/>
          <w:color w:val="000000"/>
        </w:rPr>
        <w:t>3</w:t>
      </w:r>
      <w:r>
        <w:rPr>
          <w:rFonts w:hint="eastAsia" w:eastAsiaTheme="minorEastAsia"/>
          <w:color w:val="000000"/>
        </w:rPr>
        <w:t>）“国际交流</w:t>
      </w:r>
      <w:r>
        <w:rPr>
          <w:rFonts w:eastAsiaTheme="minorEastAsia"/>
          <w:color w:val="000000"/>
        </w:rPr>
        <w:t>+</w:t>
      </w:r>
      <w:r>
        <w:rPr>
          <w:rFonts w:hint="eastAsia" w:eastAsiaTheme="minorEastAsia"/>
          <w:color w:val="000000"/>
        </w:rPr>
        <w:t>闽台融合”拓宽学生视野</w:t>
      </w:r>
    </w:p>
    <w:p>
      <w:pPr>
        <w:ind w:firstLine="480" w:firstLineChars="200"/>
        <w:rPr>
          <w:rFonts w:eastAsiaTheme="minorEastAsia"/>
          <w:color w:val="000000"/>
        </w:rPr>
      </w:pPr>
      <w:r>
        <w:rPr>
          <w:rFonts w:hint="eastAsia" w:eastAsiaTheme="minorEastAsia"/>
          <w:color w:val="000000"/>
        </w:rPr>
        <w:t>学位点着力打造国际交流平台，年均邀请国际专家来校举办讲座</w:t>
      </w:r>
      <w:r>
        <w:rPr>
          <w:rFonts w:eastAsiaTheme="minorEastAsia"/>
          <w:color w:val="000000"/>
        </w:rPr>
        <w:t>15</w:t>
      </w:r>
      <w:r>
        <w:rPr>
          <w:rFonts w:hint="eastAsia" w:eastAsiaTheme="minorEastAsia"/>
          <w:color w:val="000000"/>
        </w:rPr>
        <w:t>场，并基于地缘优势加强与台湾地区高校和科研机构合作交流，显著拓宽了森林康养、森林可持续经营等众多学位点内设方向学生的国际视野，提升了学生培养质量。</w:t>
      </w:r>
    </w:p>
    <w:p>
      <w:pPr>
        <w:ind w:firstLine="480" w:firstLineChars="200"/>
        <w:rPr>
          <w:rFonts w:eastAsiaTheme="minorEastAsia"/>
          <w:color w:val="000000"/>
        </w:rPr>
      </w:pPr>
      <w:r>
        <w:rPr>
          <w:rFonts w:hint="eastAsia" w:eastAsiaTheme="minorEastAsia"/>
          <w:color w:val="000000"/>
        </w:rPr>
        <w:t>（</w:t>
      </w:r>
      <w:r>
        <w:rPr>
          <w:rFonts w:eastAsiaTheme="minorEastAsia"/>
          <w:color w:val="000000"/>
        </w:rPr>
        <w:t>4</w:t>
      </w:r>
      <w:r>
        <w:rPr>
          <w:rFonts w:hint="eastAsia" w:eastAsiaTheme="minorEastAsia"/>
          <w:color w:val="000000"/>
        </w:rPr>
        <w:t>）“实践锻炼</w:t>
      </w:r>
      <w:r>
        <w:rPr>
          <w:rFonts w:eastAsiaTheme="minorEastAsia"/>
          <w:color w:val="000000"/>
        </w:rPr>
        <w:t>+</w:t>
      </w:r>
      <w:r>
        <w:rPr>
          <w:rFonts w:hint="eastAsia" w:eastAsiaTheme="minorEastAsia"/>
          <w:color w:val="000000"/>
        </w:rPr>
        <w:t>双盲评审”保障培养质量</w:t>
      </w:r>
    </w:p>
    <w:p>
      <w:pPr>
        <w:ind w:firstLine="480" w:firstLineChars="200"/>
        <w:rPr>
          <w:rFonts w:eastAsiaTheme="minorEastAsia"/>
          <w:color w:val="000000"/>
        </w:rPr>
      </w:pPr>
      <w:r>
        <w:rPr>
          <w:rFonts w:hint="eastAsia" w:eastAsiaTheme="minorEastAsia"/>
          <w:color w:val="000000"/>
        </w:rPr>
        <w:t>设置了专业实践锻炼环节（≥</w:t>
      </w:r>
      <w:r>
        <w:rPr>
          <w:rFonts w:eastAsiaTheme="minorEastAsia"/>
          <w:color w:val="000000"/>
        </w:rPr>
        <w:t>6</w:t>
      </w:r>
      <w:r>
        <w:rPr>
          <w:rFonts w:hint="eastAsia" w:eastAsiaTheme="minorEastAsia"/>
          <w:color w:val="000000"/>
        </w:rPr>
        <w:t>个月），实践环节由实践单位专家担任第一导师。学位论文采用盲审制度，通过第三方平台实行</w:t>
      </w:r>
      <w:r>
        <w:rPr>
          <w:rFonts w:eastAsiaTheme="minorEastAsia"/>
          <w:color w:val="000000"/>
        </w:rPr>
        <w:t>100%</w:t>
      </w:r>
      <w:r>
        <w:rPr>
          <w:rFonts w:hint="eastAsia" w:eastAsiaTheme="minorEastAsia"/>
          <w:color w:val="000000"/>
        </w:rPr>
        <w:t>论文盲审，通过后方可参加答辩。2</w:t>
      </w:r>
      <w:r>
        <w:rPr>
          <w:rFonts w:eastAsiaTheme="minorEastAsia"/>
          <w:color w:val="000000"/>
        </w:rPr>
        <w:t>020</w:t>
      </w:r>
      <w:r>
        <w:rPr>
          <w:rFonts w:hint="eastAsia" w:eastAsiaTheme="minorEastAsia"/>
          <w:color w:val="000000"/>
        </w:rPr>
        <w:t>年培养林业专业学位硕士研究生</w:t>
      </w:r>
      <w:r>
        <w:rPr>
          <w:rFonts w:eastAsiaTheme="minorEastAsia"/>
          <w:color w:val="000000"/>
        </w:rPr>
        <w:t>55</w:t>
      </w:r>
      <w:r>
        <w:rPr>
          <w:rFonts w:hint="eastAsia" w:eastAsiaTheme="minorEastAsia"/>
          <w:color w:val="000000"/>
        </w:rPr>
        <w:t>名，获得省级以上优秀论文1篇，专业人才培养成效显著。</w:t>
      </w:r>
    </w:p>
    <w:p>
      <w:pPr>
        <w:pStyle w:val="3"/>
      </w:pPr>
      <w:bookmarkStart w:id="16" w:name="_Toc89106773"/>
      <w:r>
        <w:rPr>
          <w:rFonts w:hint="eastAsia"/>
        </w:rPr>
        <w:t>（二）思想政治教育特色与成效</w:t>
      </w:r>
      <w:bookmarkEnd w:id="16"/>
    </w:p>
    <w:p>
      <w:pPr>
        <w:pStyle w:val="4"/>
      </w:pPr>
      <w:bookmarkStart w:id="17" w:name="_Toc89106774"/>
      <w:r>
        <w:rPr>
          <w:rFonts w:hint="eastAsia"/>
        </w:rPr>
        <w:t>1</w:t>
      </w:r>
      <w:r>
        <w:t>.</w:t>
      </w:r>
      <w:r>
        <w:rPr>
          <w:rFonts w:hint="eastAsia"/>
        </w:rPr>
        <w:t>思政教育特色做法</w:t>
      </w:r>
      <w:bookmarkEnd w:id="17"/>
    </w:p>
    <w:p>
      <w:pPr>
        <w:ind w:firstLine="648"/>
        <w:rPr>
          <w:szCs w:val="32"/>
        </w:rPr>
      </w:pPr>
      <w:r>
        <w:rPr>
          <w:rFonts w:hint="eastAsia"/>
          <w:szCs w:val="32"/>
        </w:rPr>
        <w:t>1</w:t>
      </w:r>
      <w:r>
        <w:rPr>
          <w:szCs w:val="32"/>
        </w:rPr>
        <w:t xml:space="preserve">.1 </w:t>
      </w:r>
      <w:r>
        <w:rPr>
          <w:rFonts w:hint="eastAsia"/>
          <w:szCs w:val="32"/>
        </w:rPr>
        <w:t>“四个融入”推动思政教育，引领保障“三全育人”</w:t>
      </w:r>
    </w:p>
    <w:p>
      <w:pPr>
        <w:ind w:firstLine="648"/>
        <w:rPr>
          <w:szCs w:val="32"/>
        </w:rPr>
      </w:pPr>
      <w:r>
        <w:rPr>
          <w:rFonts w:hint="eastAsia"/>
          <w:szCs w:val="32"/>
        </w:rPr>
        <w:t>一是将学科文化融入林业硕士培养，用80年积淀形成的“树木树人，厚德求新”学科文化和“久久为功，科研报国”的“洋林精神”，开展专业教育，培养学生献身林业精神，同时开展先进人物引领等爱国主义教育活动，培养社会主义核心价值观。二是将思政元素融入学位点建设，把课程思政列入教材编写、人才培养方案制定、专业实践和教育管理要求，形成思政教育贯穿学位点、专业、教材和管理体系的“全过程、全方位”育人格局。三是将党建工作融入学位点发展，实施教师党支部书记“双带头人”培育工程，按导师团队设置研究生党支部，并与教工党支部对接共建，开展样板支部创建活动，形成以教工党建促进导师团队思政的“全员”育人格局。四是将意识形态管理融入教育管理，学校成立融媒体中心，强化意识形态阵地管理，导师、辅导员介入学生新媒体阵地，壮大正能量，实现网上网下一体化思政教育的格局。</w:t>
      </w:r>
    </w:p>
    <w:p>
      <w:pPr>
        <w:ind w:firstLine="648"/>
        <w:rPr>
          <w:szCs w:val="32"/>
        </w:rPr>
      </w:pPr>
      <w:r>
        <w:rPr>
          <w:szCs w:val="32"/>
        </w:rPr>
        <w:t>1.2</w:t>
      </w:r>
      <w:r>
        <w:rPr>
          <w:rFonts w:hint="eastAsia"/>
          <w:szCs w:val="32"/>
        </w:rPr>
        <w:t>“工作坊+名师示范+项目引导”，推动课程思政改革</w:t>
      </w:r>
    </w:p>
    <w:p>
      <w:pPr>
        <w:ind w:firstLine="648"/>
        <w:rPr>
          <w:szCs w:val="32"/>
        </w:rPr>
      </w:pPr>
      <w:r>
        <w:rPr>
          <w:rFonts w:hint="eastAsia"/>
          <w:szCs w:val="32"/>
        </w:rPr>
        <w:t>成立“课程思政教学工作坊”，组织全国林业草原教学名师和省、校教学名师开设“课程思政示范课”，安排专项经费设立“课程思政改革项目”，引导教师开展课程思政研究，充分挖掘具有学科特色的思政教育资源，将“新发展理念、生态文明、两山理论、人民中心、人类命运共同体”等新思想充分融入课程教学。</w:t>
      </w:r>
    </w:p>
    <w:p>
      <w:pPr>
        <w:ind w:firstLine="648"/>
        <w:rPr>
          <w:szCs w:val="32"/>
        </w:rPr>
      </w:pPr>
      <w:r>
        <w:rPr>
          <w:rFonts w:hint="eastAsia"/>
          <w:szCs w:val="32"/>
        </w:rPr>
        <w:t>1</w:t>
      </w:r>
      <w:r>
        <w:rPr>
          <w:szCs w:val="32"/>
        </w:rPr>
        <w:t xml:space="preserve">.3 </w:t>
      </w:r>
      <w:r>
        <w:rPr>
          <w:rFonts w:hint="eastAsia"/>
          <w:szCs w:val="32"/>
        </w:rPr>
        <w:t>服务国家战略与专业实践结合，推进实践育人落地</w:t>
      </w:r>
    </w:p>
    <w:p>
      <w:pPr>
        <w:ind w:firstLine="648"/>
        <w:rPr>
          <w:szCs w:val="32"/>
        </w:rPr>
      </w:pPr>
      <w:r>
        <w:rPr>
          <w:rFonts w:hint="eastAsia"/>
          <w:szCs w:val="32"/>
        </w:rPr>
        <w:t>将三下乡社会实践、专业实践与服务生态文明建设、乡村振兴和脱贫攻坚等国家战略相结合，2</w:t>
      </w:r>
      <w:r>
        <w:rPr>
          <w:szCs w:val="32"/>
        </w:rPr>
        <w:t>020</w:t>
      </w:r>
      <w:r>
        <w:rPr>
          <w:rFonts w:hint="eastAsia"/>
          <w:szCs w:val="32"/>
        </w:rPr>
        <w:t>年成立国内首家水土保持公益组织—绿泽源环保公益服务中心，宣传推广水土流失治理“长汀经验”；组织师生助力宁夏固原、甘肃定西脱贫攻坚和环境治理，引导学生在服务和实践中了解国情，感受国家发展，增强专业认同，提升实践育人实效。</w:t>
      </w:r>
    </w:p>
    <w:p>
      <w:pPr>
        <w:ind w:firstLine="648"/>
        <w:rPr>
          <w:szCs w:val="32"/>
        </w:rPr>
      </w:pPr>
      <w:r>
        <w:rPr>
          <w:rFonts w:hint="eastAsia"/>
          <w:szCs w:val="32"/>
        </w:rPr>
        <w:t>1</w:t>
      </w:r>
      <w:r>
        <w:rPr>
          <w:szCs w:val="32"/>
        </w:rPr>
        <w:t xml:space="preserve">.4 </w:t>
      </w:r>
      <w:r>
        <w:rPr>
          <w:rFonts w:hint="eastAsia"/>
          <w:szCs w:val="32"/>
        </w:rPr>
        <w:t>加强思政队伍建设，提升全员育人水平</w:t>
      </w:r>
    </w:p>
    <w:p>
      <w:pPr>
        <w:ind w:firstLine="648"/>
        <w:rPr>
          <w:szCs w:val="32"/>
        </w:rPr>
      </w:pPr>
      <w:r>
        <w:rPr>
          <w:rFonts w:hint="eastAsia"/>
          <w:szCs w:val="32"/>
        </w:rPr>
        <w:t>按标准配足学院专职辅导员。改革教师评价制度，将思政课程、课程思政的能力和效果纳入评价范畴。学院书记带头讲授思政课程，院长带头开展课程思政，把思政意识、德育意识和能力培养纳入教师能力提升工程体系，举办课程思政、思政课程专题培训和大比武活动，在全体教师中形成浓厚的思政育人氛围。</w:t>
      </w:r>
    </w:p>
    <w:p>
      <w:pPr>
        <w:pStyle w:val="4"/>
      </w:pPr>
      <w:bookmarkStart w:id="18" w:name="_Toc89106775"/>
      <w:r>
        <w:t>2.</w:t>
      </w:r>
      <w:r>
        <w:rPr>
          <w:rFonts w:hint="eastAsia"/>
        </w:rPr>
        <w:t>思政教育成效</w:t>
      </w:r>
      <w:bookmarkEnd w:id="18"/>
    </w:p>
    <w:p>
      <w:pPr>
        <w:autoSpaceDE w:val="0"/>
        <w:autoSpaceDN w:val="0"/>
        <w:adjustRightInd w:val="0"/>
        <w:jc w:val="left"/>
        <w:rPr>
          <w:rFonts w:eastAsiaTheme="minorEastAsia"/>
          <w:szCs w:val="24"/>
        </w:rPr>
      </w:pPr>
      <w:r>
        <w:rPr>
          <w:rFonts w:eastAsiaTheme="minorEastAsia"/>
          <w:szCs w:val="24"/>
        </w:rPr>
        <w:t>2020年，</w:t>
      </w:r>
      <w:r>
        <w:rPr>
          <w:rFonts w:hint="eastAsia" w:eastAsiaTheme="minorEastAsia"/>
          <w:szCs w:val="24"/>
        </w:rPr>
        <w:t>学位点</w:t>
      </w:r>
      <w:r>
        <w:rPr>
          <w:rFonts w:eastAsiaTheme="minorEastAsia"/>
          <w:kern w:val="0"/>
          <w:szCs w:val="24"/>
        </w:rPr>
        <w:t>思政教育成果丰硕。</w:t>
      </w:r>
      <w:r>
        <w:rPr>
          <w:rFonts w:hint="eastAsia" w:eastAsiaTheme="minorEastAsia"/>
          <w:kern w:val="0"/>
          <w:szCs w:val="24"/>
        </w:rPr>
        <w:t>学位点</w:t>
      </w:r>
      <w:r>
        <w:rPr>
          <w:rFonts w:eastAsiaTheme="minorEastAsia"/>
          <w:kern w:val="0"/>
          <w:szCs w:val="24"/>
        </w:rPr>
        <w:t>助力学校获评“全国生态文明教育基地”、“全国绿化模范单位”、“全国文明校园”</w:t>
      </w:r>
      <w:r>
        <w:rPr>
          <w:rFonts w:hint="eastAsia" w:eastAsiaTheme="minorEastAsia"/>
          <w:kern w:val="0"/>
          <w:szCs w:val="24"/>
        </w:rPr>
        <w:t>。本学位点教师李明同志的</w:t>
      </w:r>
      <w:r>
        <w:rPr>
          <w:rFonts w:eastAsiaTheme="minorEastAsia"/>
          <w:kern w:val="0"/>
          <w:szCs w:val="24"/>
        </w:rPr>
        <w:t>“久久为功守初心，一棵杉木做到底——洋林精神”主题党课获评“省本科高校书记好党课”</w:t>
      </w:r>
      <w:r>
        <w:rPr>
          <w:rFonts w:hint="eastAsia" w:eastAsiaTheme="minorEastAsia"/>
          <w:kern w:val="0"/>
          <w:szCs w:val="24"/>
        </w:rPr>
        <w:t>。</w:t>
      </w:r>
      <w:r>
        <w:rPr>
          <w:rFonts w:eastAsiaTheme="minorEastAsia"/>
          <w:kern w:val="0"/>
          <w:szCs w:val="24"/>
        </w:rPr>
        <w:t>绿泽源环保公益服务中心获“第五届中国青年志愿服务项目大赛”银奖和“福建省学雷锋最佳志愿服务项目”。</w:t>
      </w:r>
      <w:r>
        <w:rPr>
          <w:rFonts w:hint="eastAsia" w:eastAsiaTheme="minorEastAsia"/>
          <w:kern w:val="0"/>
          <w:szCs w:val="24"/>
        </w:rPr>
        <w:t>学位点2</w:t>
      </w:r>
      <w:r>
        <w:rPr>
          <w:rFonts w:eastAsiaTheme="minorEastAsia"/>
          <w:kern w:val="0"/>
          <w:szCs w:val="24"/>
        </w:rPr>
        <w:t>个</w:t>
      </w:r>
      <w:r>
        <w:rPr>
          <w:rFonts w:hint="eastAsia" w:eastAsiaTheme="minorEastAsia"/>
          <w:kern w:val="0"/>
          <w:szCs w:val="24"/>
        </w:rPr>
        <w:t>教学改革</w:t>
      </w:r>
      <w:r>
        <w:rPr>
          <w:rFonts w:eastAsiaTheme="minorEastAsia"/>
          <w:kern w:val="0"/>
          <w:szCs w:val="24"/>
        </w:rPr>
        <w:t>项目获校级及以上优秀课程思政教改项目立项。教学改革成果福建省教学成果特等奖1项。教书育人水平提高</w:t>
      </w:r>
      <w:r>
        <w:rPr>
          <w:rFonts w:hint="eastAsia" w:eastAsiaTheme="minorEastAsia"/>
          <w:kern w:val="0"/>
          <w:szCs w:val="24"/>
        </w:rPr>
        <w:t>，</w:t>
      </w:r>
      <w:r>
        <w:rPr>
          <w:rFonts w:eastAsiaTheme="minorEastAsia"/>
          <w:kern w:val="0"/>
          <w:szCs w:val="24"/>
        </w:rPr>
        <w:t>张国防教授获评第二届“全国创新争先奖状”，生态公益林重大有害生物防控福建省重点实验室获评“福建青年五四奖章集体”，学科参与的“闽宁对口扶贫协作援宁群体”被中宣部授予“时代楷模”称号。</w:t>
      </w:r>
    </w:p>
    <w:p>
      <w:pPr>
        <w:pStyle w:val="4"/>
      </w:pPr>
      <w:bookmarkStart w:id="19" w:name="_Toc89106776"/>
      <w:r>
        <w:t>3</w:t>
      </w:r>
      <w:r>
        <w:rPr>
          <w:rFonts w:hint="eastAsia"/>
        </w:rPr>
        <w:t>师德师风建设</w:t>
      </w:r>
      <w:bookmarkEnd w:id="19"/>
    </w:p>
    <w:p>
      <w:pPr>
        <w:ind w:firstLine="480" w:firstLineChars="200"/>
        <w:rPr>
          <w:rFonts w:eastAsiaTheme="minorEastAsia"/>
          <w:szCs w:val="32"/>
        </w:rPr>
      </w:pPr>
      <w:r>
        <w:rPr>
          <w:rFonts w:eastAsiaTheme="minorEastAsia"/>
          <w:szCs w:val="32"/>
        </w:rPr>
        <w:t>（1）加强理论学习，涵养师德师风</w:t>
      </w:r>
    </w:p>
    <w:p>
      <w:pPr>
        <w:ind w:firstLine="480" w:firstLineChars="200"/>
        <w:rPr>
          <w:rFonts w:eastAsiaTheme="minorEastAsia"/>
          <w:szCs w:val="32"/>
        </w:rPr>
      </w:pPr>
      <w:r>
        <w:rPr>
          <w:rFonts w:eastAsiaTheme="minorEastAsia"/>
          <w:szCs w:val="32"/>
        </w:rPr>
        <w:t>院党委成立理论学习领导小组，组织教师深入学习新思想，提升教师“为党育人，为国育才”的使命意识；发挥教工党支部和党员教师的模范作用，使支部成为涵养师德师风的重要平台，使党员教师成为践行高尚师德的重要力量；持续在教职工中开展传承优秀家风家教活动和廉洁文化进校园活动，每年举办“学院周”文艺活动，发挥文化涵养师德师风的功能，使教育强国和爱林悯林的情怀深植在学科教师心中。</w:t>
      </w:r>
    </w:p>
    <w:p>
      <w:pPr>
        <w:ind w:firstLine="480" w:firstLineChars="200"/>
        <w:rPr>
          <w:rFonts w:eastAsiaTheme="minorEastAsia"/>
          <w:szCs w:val="32"/>
        </w:rPr>
      </w:pPr>
      <w:r>
        <w:rPr>
          <w:rFonts w:hint="eastAsia" w:eastAsiaTheme="minorEastAsia"/>
          <w:szCs w:val="32"/>
        </w:rPr>
        <w:t>（2）</w:t>
      </w:r>
      <w:r>
        <w:rPr>
          <w:rFonts w:eastAsiaTheme="minorEastAsia"/>
          <w:szCs w:val="32"/>
        </w:rPr>
        <w:t>完善制度建设，规范师德师风</w:t>
      </w:r>
    </w:p>
    <w:p>
      <w:pPr>
        <w:ind w:firstLine="480" w:firstLineChars="200"/>
        <w:rPr>
          <w:rFonts w:eastAsiaTheme="minorEastAsia"/>
          <w:szCs w:val="32"/>
        </w:rPr>
      </w:pPr>
      <w:r>
        <w:rPr>
          <w:rFonts w:eastAsiaTheme="minorEastAsia"/>
          <w:szCs w:val="32"/>
        </w:rPr>
        <w:t>出台《师德师风和意识形态测评考核实施细则》、《师德建设长效机制实施办法》、《研究生导师立德树人职责实施细则》和《教师职业行为负面清单及师德失范行为处理办法》等制度，形成涵盖师德教育、测评考核、监督奖惩全过程的制度体系，将师德师风建设贯穿教师管理的全过程，每年对所有教师的师德师风进行测评考核，并将考核结果作为职称晋升、绩效分配和评优评先的第一标准。</w:t>
      </w:r>
    </w:p>
    <w:p>
      <w:pPr>
        <w:ind w:firstLine="480" w:firstLineChars="200"/>
        <w:rPr>
          <w:rFonts w:eastAsiaTheme="minorEastAsia"/>
          <w:szCs w:val="32"/>
        </w:rPr>
      </w:pPr>
      <w:r>
        <w:rPr>
          <w:rFonts w:hint="eastAsia" w:eastAsiaTheme="minorEastAsia"/>
          <w:szCs w:val="32"/>
        </w:rPr>
        <w:t>（3）</w:t>
      </w:r>
      <w:r>
        <w:rPr>
          <w:rFonts w:eastAsiaTheme="minorEastAsia"/>
          <w:szCs w:val="32"/>
        </w:rPr>
        <w:t>弘扬典型先进，引领师德师风</w:t>
      </w:r>
    </w:p>
    <w:p>
      <w:pPr>
        <w:ind w:firstLine="480" w:firstLineChars="200"/>
        <w:rPr>
          <w:rFonts w:eastAsiaTheme="minorEastAsia"/>
          <w:szCs w:val="32"/>
        </w:rPr>
      </w:pPr>
      <w:r>
        <w:rPr>
          <w:rFonts w:eastAsiaTheme="minorEastAsia"/>
          <w:szCs w:val="32"/>
        </w:rPr>
        <w:t>传承和发扬 “树木树人，厚德求新”的学科文化和“久久为功，科研报国”的“洋林精神” 突出典型树德，大力弘扬学科创始人李先才、周祯、“中国杉木之父”俞新妥等先辈筚路蓝缕的创业精神，全国创新争先奖状获得者、省优秀教师、五一劳动奖章获得者、教学名师等先进教师爱岗敬业的奉献精神，发挥典型先进引领作用，使敬业奉献创新的精神得到薪火相传，引导教师做学生成长的指导者和引路人。</w:t>
      </w:r>
    </w:p>
    <w:p>
      <w:pPr>
        <w:ind w:firstLine="480" w:firstLineChars="200"/>
        <w:rPr>
          <w:rFonts w:eastAsiaTheme="minorEastAsia"/>
          <w:szCs w:val="32"/>
        </w:rPr>
      </w:pPr>
      <w:r>
        <w:rPr>
          <w:rFonts w:hint="eastAsia" w:eastAsiaTheme="minorEastAsia"/>
          <w:szCs w:val="32"/>
        </w:rPr>
        <w:t>（4）</w:t>
      </w:r>
      <w:r>
        <w:rPr>
          <w:rFonts w:eastAsiaTheme="minorEastAsia"/>
          <w:szCs w:val="32"/>
        </w:rPr>
        <w:t>实行“三三三”机制，保障师德师风</w:t>
      </w:r>
    </w:p>
    <w:p>
      <w:pPr>
        <w:ind w:firstLine="480" w:firstLineChars="200"/>
        <w:rPr>
          <w:rFonts w:eastAsiaTheme="minorEastAsia"/>
          <w:szCs w:val="32"/>
        </w:rPr>
      </w:pPr>
      <w:r>
        <w:rPr>
          <w:rFonts w:eastAsiaTheme="minorEastAsia"/>
          <w:szCs w:val="32"/>
        </w:rPr>
        <w:t>坚持理论学习、思想认识、制度建设“三到位”，举办新林科教育思想大讨论和红树林讲坛等活动，营造潜心研究、追求卓越、风清气正的教书育人环境。实行管理工作精细化、监督过程规范化、氛围营造常态化的“三化管理”，在招聘教师和教师评价中严把政治关和师德关。构建社会实践、科技兴林、师生联系的“三平台”，突出师德践行教育，强化教师服务三农，将师德师风建设融入到教书育人、科学研究和社会服务的各环节。</w:t>
      </w:r>
    </w:p>
    <w:p>
      <w:pPr>
        <w:pStyle w:val="4"/>
      </w:pPr>
      <w:bookmarkStart w:id="20" w:name="_Toc89106777"/>
      <w:r>
        <w:t>4</w:t>
      </w:r>
      <w:r>
        <w:rPr>
          <w:rFonts w:hint="eastAsia"/>
        </w:rPr>
        <w:t>课程建设</w:t>
      </w:r>
      <w:bookmarkEnd w:id="20"/>
    </w:p>
    <w:p>
      <w:pPr>
        <w:autoSpaceDE w:val="0"/>
        <w:autoSpaceDN w:val="0"/>
        <w:adjustRightInd w:val="0"/>
        <w:jc w:val="left"/>
        <w:rPr>
          <w:rFonts w:ascii="宋体" w:cs="宋体" w:hAnsiTheme="minorHAnsi"/>
          <w:kern w:val="0"/>
          <w:szCs w:val="21"/>
        </w:rPr>
      </w:pPr>
      <w:r>
        <w:rPr>
          <w:rFonts w:hint="eastAsia" w:ascii="宋体" w:cs="宋体" w:hAnsiTheme="minorHAnsi"/>
          <w:kern w:val="0"/>
          <w:szCs w:val="21"/>
        </w:rPr>
        <w:t>（1）加强国际合作，开设前沿课程</w:t>
      </w:r>
    </w:p>
    <w:p>
      <w:pPr>
        <w:autoSpaceDE w:val="0"/>
        <w:autoSpaceDN w:val="0"/>
        <w:adjustRightInd w:val="0"/>
        <w:ind w:firstLine="420"/>
        <w:jc w:val="left"/>
        <w:rPr>
          <w:rFonts w:ascii="宋体" w:cs="宋体" w:hAnsiTheme="minorHAnsi"/>
          <w:kern w:val="0"/>
          <w:szCs w:val="21"/>
        </w:rPr>
      </w:pPr>
      <w:r>
        <w:rPr>
          <w:rFonts w:hint="eastAsia" w:ascii="宋体" w:cs="宋体" w:hAnsiTheme="minorHAnsi"/>
          <w:kern w:val="0"/>
          <w:szCs w:val="21"/>
        </w:rPr>
        <w:t>通过与加拿大UBC大学林学院合作，实现在线课程学分互换。聘请美国纽约州立大学教授、日本东京大学教授讲授《实验数据与统计分析》和《林业生物技术专题》课程，邀请国际知名学者来校讲授《林业前沿系列讲座》等课程。</w:t>
      </w:r>
    </w:p>
    <w:p>
      <w:pPr>
        <w:autoSpaceDE w:val="0"/>
        <w:autoSpaceDN w:val="0"/>
        <w:adjustRightInd w:val="0"/>
        <w:jc w:val="left"/>
        <w:rPr>
          <w:rFonts w:ascii="宋体" w:cs="宋体" w:hAnsiTheme="minorHAnsi"/>
          <w:kern w:val="0"/>
          <w:szCs w:val="21"/>
        </w:rPr>
      </w:pPr>
      <w:r>
        <w:rPr>
          <w:rFonts w:hint="eastAsia" w:ascii="宋体" w:cs="宋体" w:hAnsiTheme="minorHAnsi"/>
          <w:kern w:val="0"/>
          <w:szCs w:val="21"/>
        </w:rPr>
        <w:t>（2）强化科研育人，培养创新意识</w:t>
      </w:r>
    </w:p>
    <w:p>
      <w:pPr>
        <w:autoSpaceDE w:val="0"/>
        <w:autoSpaceDN w:val="0"/>
        <w:adjustRightInd w:val="0"/>
        <w:ind w:firstLine="420"/>
        <w:jc w:val="left"/>
        <w:rPr>
          <w:rFonts w:ascii="宋体" w:cs="宋体" w:hAnsiTheme="minorHAnsi"/>
          <w:kern w:val="0"/>
          <w:szCs w:val="21"/>
        </w:rPr>
      </w:pPr>
      <w:r>
        <w:rPr>
          <w:rFonts w:hint="eastAsia" w:ascii="宋体" w:cs="宋体" w:hAnsiTheme="minorHAnsi"/>
          <w:kern w:val="0"/>
          <w:szCs w:val="21"/>
        </w:rPr>
        <w:t>利用与国际接轨的“基础林学与蛋白质组学研究中心”和学科其它9 个国家级、省部级平台及其优质师资和科研成果，强化科研成果进课堂，课程实验进平台，着力培养学生的创新意识和动手能力。</w:t>
      </w:r>
    </w:p>
    <w:p>
      <w:pPr>
        <w:autoSpaceDE w:val="0"/>
        <w:autoSpaceDN w:val="0"/>
        <w:adjustRightInd w:val="0"/>
        <w:jc w:val="left"/>
        <w:rPr>
          <w:rFonts w:ascii="宋体" w:cs="宋体" w:hAnsiTheme="minorHAnsi"/>
          <w:kern w:val="0"/>
          <w:szCs w:val="21"/>
        </w:rPr>
      </w:pPr>
      <w:r>
        <w:rPr>
          <w:rFonts w:hint="eastAsia" w:ascii="宋体" w:cs="宋体" w:hAnsiTheme="minorHAnsi"/>
          <w:kern w:val="0"/>
          <w:szCs w:val="21"/>
        </w:rPr>
        <w:t>（3）创新实践课程，推进产教融合</w:t>
      </w:r>
    </w:p>
    <w:p>
      <w:pPr>
        <w:autoSpaceDE w:val="0"/>
        <w:autoSpaceDN w:val="0"/>
        <w:adjustRightInd w:val="0"/>
        <w:ind w:firstLine="420"/>
        <w:jc w:val="left"/>
        <w:rPr>
          <w:rFonts w:ascii="宋体" w:cs="宋体" w:hAnsiTheme="minorHAnsi"/>
          <w:kern w:val="0"/>
          <w:szCs w:val="21"/>
        </w:rPr>
      </w:pPr>
      <w:r>
        <w:rPr>
          <w:rFonts w:hint="eastAsia" w:ascii="宋体" w:cs="宋体" w:hAnsiTheme="minorHAnsi"/>
          <w:kern w:val="0"/>
          <w:szCs w:val="21"/>
        </w:rPr>
        <w:t>利用福建拥有全国最多涉林上市企业的优势，建设16 个产教融合实践教学基地，聘请</w:t>
      </w:r>
      <w:r>
        <w:rPr>
          <w:rFonts w:ascii="宋体" w:cs="宋体" w:hAnsiTheme="minorHAnsi"/>
          <w:kern w:val="0"/>
          <w:szCs w:val="21"/>
        </w:rPr>
        <w:t>90</w:t>
      </w:r>
      <w:r>
        <w:rPr>
          <w:rFonts w:hint="eastAsia" w:ascii="宋体" w:cs="宋体" w:hAnsiTheme="minorHAnsi"/>
          <w:kern w:val="0"/>
          <w:szCs w:val="21"/>
        </w:rPr>
        <w:t>多位基层技术骨干或管理人员协同指导实践教学，培养学生职业能力。发挥拥有两个校属教学林场的优势，开展集产教于一体的系统模块化实践教学。</w:t>
      </w:r>
    </w:p>
    <w:p>
      <w:pPr>
        <w:autoSpaceDE w:val="0"/>
        <w:autoSpaceDN w:val="0"/>
        <w:adjustRightInd w:val="0"/>
        <w:jc w:val="left"/>
        <w:rPr>
          <w:rFonts w:ascii="宋体" w:cs="宋体" w:hAnsiTheme="minorHAnsi"/>
          <w:kern w:val="0"/>
          <w:szCs w:val="21"/>
        </w:rPr>
      </w:pPr>
      <w:r>
        <w:rPr>
          <w:rFonts w:hint="eastAsia" w:ascii="宋体" w:cs="宋体" w:hAnsiTheme="minorHAnsi"/>
          <w:kern w:val="0"/>
          <w:szCs w:val="21"/>
        </w:rPr>
        <w:t>（4）强化过程管理，严把教学质量</w:t>
      </w:r>
    </w:p>
    <w:p>
      <w:pPr>
        <w:autoSpaceDE w:val="0"/>
        <w:autoSpaceDN w:val="0"/>
        <w:adjustRightInd w:val="0"/>
        <w:ind w:firstLine="420"/>
        <w:jc w:val="left"/>
        <w:rPr>
          <w:rFonts w:ascii="宋体" w:cs="宋体" w:hAnsiTheme="minorHAnsi"/>
          <w:kern w:val="0"/>
          <w:szCs w:val="21"/>
        </w:rPr>
      </w:pPr>
      <w:r>
        <w:rPr>
          <w:rFonts w:hint="eastAsia" w:ascii="宋体" w:cs="宋体" w:hAnsiTheme="minorHAnsi"/>
          <w:kern w:val="0"/>
          <w:szCs w:val="21"/>
        </w:rPr>
        <w:t>建立“三段检查、三级督导、多方评教”的教学质量督导监控体系，根据校院系教学检查督导和学生的反馈进行综合评价，将评价结果与教师绩效工资、职称晋升和年度考核相挂钩，教学质量综合评价前20%教师的教学绩效上浮50%，对全面保障和提升教学质量发挥了重要的导向作用。</w:t>
      </w:r>
    </w:p>
    <w:p>
      <w:pPr>
        <w:pStyle w:val="2"/>
      </w:pPr>
      <w:bookmarkStart w:id="21" w:name="_Toc89106778"/>
      <w:r>
        <w:rPr>
          <w:rFonts w:hint="eastAsia"/>
        </w:rPr>
        <w:t>三、学位点建设存在的问题</w:t>
      </w:r>
      <w:bookmarkEnd w:id="21"/>
    </w:p>
    <w:p>
      <w:pPr>
        <w:spacing w:line="360" w:lineRule="auto"/>
        <w:ind w:firstLine="480" w:firstLineChars="200"/>
        <w:rPr>
          <w:rFonts w:eastAsiaTheme="minorEastAsia"/>
          <w:bCs/>
          <w:szCs w:val="24"/>
        </w:rPr>
      </w:pPr>
      <w:r>
        <w:rPr>
          <w:rFonts w:eastAsiaTheme="minorEastAsia"/>
          <w:bCs/>
          <w:szCs w:val="24"/>
        </w:rPr>
        <w:t>该学位点招生规模和培养质量稳步提升，但仍存在建设和管理短板：</w:t>
      </w:r>
    </w:p>
    <w:p>
      <w:pPr>
        <w:spacing w:line="360" w:lineRule="auto"/>
        <w:ind w:firstLine="480" w:firstLineChars="200"/>
        <w:rPr>
          <w:rFonts w:eastAsiaTheme="minorEastAsia"/>
          <w:bCs/>
          <w:szCs w:val="24"/>
        </w:rPr>
      </w:pPr>
      <w:r>
        <w:rPr>
          <w:rFonts w:eastAsiaTheme="minorEastAsia"/>
          <w:bCs/>
          <w:szCs w:val="24"/>
        </w:rPr>
        <w:t>（1）学生报考意愿不强烈。考生对专业学位点认识不充分，报考意愿不强烈，导致生源质量参差不齐。</w:t>
      </w:r>
    </w:p>
    <w:p>
      <w:pPr>
        <w:spacing w:line="360" w:lineRule="auto"/>
        <w:ind w:firstLine="480" w:firstLineChars="200"/>
        <w:rPr>
          <w:rFonts w:eastAsiaTheme="minorEastAsia"/>
          <w:bCs/>
          <w:szCs w:val="24"/>
        </w:rPr>
      </w:pPr>
      <w:r>
        <w:rPr>
          <w:rFonts w:eastAsiaTheme="minorEastAsia"/>
          <w:bCs/>
          <w:szCs w:val="24"/>
        </w:rPr>
        <w:t>（2）专业实践基地建设需加强。该学位点专业实践基地数量充足，实践基地硬件、导师水平存在差异，个别实践基地因地处偏远，硬件条件差，不能满足学生长期驻地锻炼。</w:t>
      </w:r>
    </w:p>
    <w:p>
      <w:pPr>
        <w:spacing w:line="360" w:lineRule="auto"/>
        <w:ind w:firstLine="480" w:firstLineChars="200"/>
        <w:rPr>
          <w:rFonts w:eastAsiaTheme="minorEastAsia"/>
          <w:bCs/>
          <w:szCs w:val="24"/>
        </w:rPr>
      </w:pPr>
      <w:r>
        <w:rPr>
          <w:rFonts w:eastAsiaTheme="minorEastAsia"/>
          <w:bCs/>
          <w:szCs w:val="24"/>
        </w:rPr>
        <w:t>（3）专业学位与学术型研究生同质性培养。个别导师忽视专业学位学生的培养，将专业学位研究生等同于学术型研究室培养，不重视实践环节，偏离专业学位研究生培养初衷。</w:t>
      </w:r>
    </w:p>
    <w:p>
      <w:pPr>
        <w:pStyle w:val="2"/>
      </w:pPr>
      <w:bookmarkStart w:id="22" w:name="_Toc89106779"/>
      <w:r>
        <w:rPr>
          <w:rFonts w:hint="eastAsia"/>
        </w:rPr>
        <w:t>四、下一年度建设计划</w:t>
      </w:r>
      <w:bookmarkEnd w:id="22"/>
    </w:p>
    <w:p>
      <w:pPr>
        <w:spacing w:line="360" w:lineRule="auto"/>
        <w:ind w:firstLine="480" w:firstLineChars="200"/>
        <w:rPr>
          <w:rFonts w:eastAsiaTheme="minorEastAsia"/>
          <w:szCs w:val="32"/>
        </w:rPr>
      </w:pPr>
      <w:r>
        <w:rPr>
          <w:rFonts w:eastAsiaTheme="minorEastAsia"/>
          <w:szCs w:val="32"/>
        </w:rPr>
        <w:t>1 加强政策宣讲，提高生源质量。</w:t>
      </w:r>
      <w:r>
        <w:rPr>
          <w:rFonts w:hint="eastAsia" w:eastAsiaTheme="minorEastAsia"/>
          <w:szCs w:val="32"/>
        </w:rPr>
        <w:t>通过线上线下结合的方式，多媒体，多通道加强专业学位研究生培养相关政策、社会需求等宣讲，鼓励本科生第一志愿包括专业学位研究生。</w:t>
      </w:r>
    </w:p>
    <w:p>
      <w:pPr>
        <w:spacing w:line="360" w:lineRule="auto"/>
        <w:ind w:firstLine="480" w:firstLineChars="200"/>
        <w:rPr>
          <w:rFonts w:eastAsiaTheme="minorEastAsia"/>
          <w:szCs w:val="32"/>
        </w:rPr>
      </w:pPr>
      <w:r>
        <w:rPr>
          <w:rFonts w:eastAsiaTheme="minorEastAsia"/>
          <w:szCs w:val="32"/>
        </w:rPr>
        <w:t>2 设立实践基地考核办法，实践基地动态管理。</w:t>
      </w:r>
      <w:r>
        <w:rPr>
          <w:rFonts w:hint="eastAsia" w:eastAsiaTheme="minorEastAsia"/>
          <w:szCs w:val="32"/>
        </w:rPr>
        <w:t>出台合作实践基地管理运行办法，对基地接受专业学位数量、指导水平和实践报告质量进行跟踪，加强合作基地相关投入，完善实践条件，同时对较差的基地进行整改或终止合作等。</w:t>
      </w:r>
    </w:p>
    <w:p>
      <w:pPr>
        <w:spacing w:line="360" w:lineRule="auto"/>
        <w:ind w:firstLine="480" w:firstLineChars="200"/>
        <w:rPr>
          <w:rFonts w:eastAsiaTheme="minorEastAsia"/>
          <w:szCs w:val="32"/>
        </w:rPr>
      </w:pPr>
      <w:r>
        <w:rPr>
          <w:rFonts w:eastAsiaTheme="minorEastAsia"/>
          <w:szCs w:val="32"/>
        </w:rPr>
        <w:t>3 加强培养环节监督，突显专业学位培养特点。</w:t>
      </w:r>
      <w:r>
        <w:rPr>
          <w:rFonts w:hint="eastAsia" w:eastAsiaTheme="minorEastAsia"/>
          <w:szCs w:val="32"/>
        </w:rPr>
        <w:t>突出专业学位研究生培养特点，加强导师培训，完善专业学位研究生培养环节考核标准。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WQ3NjQ3MzVlZTFkZDMxODdhNWM1YWE2YmY1ODgifQ=="/>
  </w:docVars>
  <w:rsids>
    <w:rsidRoot w:val="004652E8"/>
    <w:rsid w:val="000139F0"/>
    <w:rsid w:val="00020253"/>
    <w:rsid w:val="00047158"/>
    <w:rsid w:val="00055FAA"/>
    <w:rsid w:val="000B1C41"/>
    <w:rsid w:val="000B69B7"/>
    <w:rsid w:val="000C2098"/>
    <w:rsid w:val="001A346F"/>
    <w:rsid w:val="00211C30"/>
    <w:rsid w:val="0022693E"/>
    <w:rsid w:val="002A056C"/>
    <w:rsid w:val="002D056F"/>
    <w:rsid w:val="002D3D7C"/>
    <w:rsid w:val="003A07AA"/>
    <w:rsid w:val="003E0BC2"/>
    <w:rsid w:val="003E4909"/>
    <w:rsid w:val="003F348A"/>
    <w:rsid w:val="004652E8"/>
    <w:rsid w:val="004A543F"/>
    <w:rsid w:val="004C21D4"/>
    <w:rsid w:val="004C5AF2"/>
    <w:rsid w:val="004E1B90"/>
    <w:rsid w:val="004F4B95"/>
    <w:rsid w:val="00510BFC"/>
    <w:rsid w:val="00541367"/>
    <w:rsid w:val="005B3FE7"/>
    <w:rsid w:val="005D2F4C"/>
    <w:rsid w:val="006040FA"/>
    <w:rsid w:val="006307C6"/>
    <w:rsid w:val="006828C4"/>
    <w:rsid w:val="00686CCE"/>
    <w:rsid w:val="00690AC6"/>
    <w:rsid w:val="00714A0C"/>
    <w:rsid w:val="007A0171"/>
    <w:rsid w:val="007A5627"/>
    <w:rsid w:val="00823CBD"/>
    <w:rsid w:val="00825691"/>
    <w:rsid w:val="00830580"/>
    <w:rsid w:val="00842AA2"/>
    <w:rsid w:val="008D46CD"/>
    <w:rsid w:val="009C6D8B"/>
    <w:rsid w:val="009F40C2"/>
    <w:rsid w:val="00A52221"/>
    <w:rsid w:val="00A67F32"/>
    <w:rsid w:val="00A91B30"/>
    <w:rsid w:val="00AC1762"/>
    <w:rsid w:val="00AC5A86"/>
    <w:rsid w:val="00B14770"/>
    <w:rsid w:val="00B2305B"/>
    <w:rsid w:val="00B36848"/>
    <w:rsid w:val="00B42F26"/>
    <w:rsid w:val="00B623D5"/>
    <w:rsid w:val="00BC292C"/>
    <w:rsid w:val="00BF5B24"/>
    <w:rsid w:val="00C9371B"/>
    <w:rsid w:val="00CA2CFE"/>
    <w:rsid w:val="00CB6D46"/>
    <w:rsid w:val="00CD7495"/>
    <w:rsid w:val="00CE29FD"/>
    <w:rsid w:val="00CF039E"/>
    <w:rsid w:val="00D04854"/>
    <w:rsid w:val="00D45D15"/>
    <w:rsid w:val="00DF67D4"/>
    <w:rsid w:val="00E32EBB"/>
    <w:rsid w:val="00E66ED0"/>
    <w:rsid w:val="00EC337E"/>
    <w:rsid w:val="00ED2B4B"/>
    <w:rsid w:val="00EF686B"/>
    <w:rsid w:val="00F14FCF"/>
    <w:rsid w:val="00F73D5F"/>
    <w:rsid w:val="0FE077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0" w:firstLineChars="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16"/>
    <w:qFormat/>
    <w:uiPriority w:val="9"/>
    <w:pPr>
      <w:keepNext/>
      <w:keepLines/>
      <w:spacing w:line="360" w:lineRule="auto"/>
      <w:outlineLvl w:val="0"/>
    </w:pPr>
    <w:rPr>
      <w:b/>
      <w:bCs/>
      <w:kern w:val="44"/>
      <w:sz w:val="32"/>
      <w:szCs w:val="44"/>
    </w:rPr>
  </w:style>
  <w:style w:type="paragraph" w:styleId="3">
    <w:name w:val="heading 2"/>
    <w:basedOn w:val="1"/>
    <w:next w:val="1"/>
    <w:link w:val="17"/>
    <w:unhideWhenUsed/>
    <w:qFormat/>
    <w:uiPriority w:val="9"/>
    <w:pPr>
      <w:keepNext/>
      <w:keepLines/>
      <w:spacing w:before="100" w:beforeAutospacing="1" w:after="100" w:afterAutospacing="1" w:line="400" w:lineRule="atLeast"/>
      <w:outlineLvl w:val="1"/>
    </w:pPr>
    <w:rPr>
      <w:rFonts w:eastAsiaTheme="majorEastAsia" w:cstheme="majorBidi"/>
      <w:b/>
      <w:bCs/>
      <w:sz w:val="28"/>
      <w:szCs w:val="32"/>
    </w:rPr>
  </w:style>
  <w:style w:type="paragraph" w:styleId="4">
    <w:name w:val="heading 3"/>
    <w:basedOn w:val="1"/>
    <w:next w:val="1"/>
    <w:link w:val="19"/>
    <w:unhideWhenUsed/>
    <w:qFormat/>
    <w:uiPriority w:val="9"/>
    <w:pPr>
      <w:keepNext/>
      <w:keepLines/>
      <w:spacing w:before="100" w:beforeAutospacing="1" w:after="100" w:afterAutospacing="1" w:line="400" w:lineRule="atLeast"/>
      <w:outlineLvl w:val="2"/>
    </w:pPr>
    <w:rPr>
      <w:b/>
      <w:bCs/>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1"/>
    <w:semiHidden/>
    <w:unhideWhenUsed/>
    <w:uiPriority w:val="99"/>
    <w:pPr>
      <w:spacing w:line="240" w:lineRule="auto"/>
    </w:pPr>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8"/>
    <w:uiPriority w:val="99"/>
    <w:rPr>
      <w:rFonts w:ascii="Calibri" w:hAnsi="Calibri" w:eastAsia="宋体" w:cs="Times New Roman"/>
      <w:sz w:val="18"/>
      <w:szCs w:val="18"/>
    </w:rPr>
  </w:style>
  <w:style w:type="character" w:customStyle="1" w:styleId="15">
    <w:name w:val="页脚 Char"/>
    <w:basedOn w:val="12"/>
    <w:link w:val="7"/>
    <w:qFormat/>
    <w:uiPriority w:val="99"/>
    <w:rPr>
      <w:rFonts w:ascii="Calibri" w:hAnsi="Calibri" w:eastAsia="宋体" w:cs="Times New Roman"/>
      <w:sz w:val="18"/>
      <w:szCs w:val="18"/>
    </w:rPr>
  </w:style>
  <w:style w:type="character" w:customStyle="1" w:styleId="16">
    <w:name w:val="标题 1 Char"/>
    <w:basedOn w:val="12"/>
    <w:link w:val="2"/>
    <w:qFormat/>
    <w:uiPriority w:val="9"/>
    <w:rPr>
      <w:rFonts w:ascii="Calibri" w:hAnsi="Calibri" w:eastAsia="宋体" w:cs="Times New Roman"/>
      <w:b/>
      <w:bCs/>
      <w:kern w:val="44"/>
      <w:sz w:val="32"/>
      <w:szCs w:val="44"/>
    </w:rPr>
  </w:style>
  <w:style w:type="character" w:customStyle="1" w:styleId="17">
    <w:name w:val="标题 2 Char"/>
    <w:basedOn w:val="12"/>
    <w:link w:val="3"/>
    <w:qFormat/>
    <w:uiPriority w:val="9"/>
    <w:rPr>
      <w:rFonts w:ascii="Times New Roman" w:hAnsi="Times New Roman" w:eastAsiaTheme="majorEastAsia" w:cstheme="majorBidi"/>
      <w:b/>
      <w:bCs/>
      <w:sz w:val="28"/>
      <w:szCs w:val="32"/>
    </w:rPr>
  </w:style>
  <w:style w:type="paragraph" w:styleId="18">
    <w:name w:val="List Paragraph"/>
    <w:basedOn w:val="1"/>
    <w:qFormat/>
    <w:uiPriority w:val="34"/>
    <w:pPr>
      <w:ind w:firstLine="420" w:firstLineChars="200"/>
    </w:pPr>
  </w:style>
  <w:style w:type="character" w:customStyle="1" w:styleId="19">
    <w:name w:val="标题 3 Char"/>
    <w:basedOn w:val="12"/>
    <w:link w:val="4"/>
    <w:qFormat/>
    <w:uiPriority w:val="9"/>
    <w:rPr>
      <w:rFonts w:ascii="Times New Roman" w:hAnsi="Times New Roman" w:eastAsia="宋体" w:cs="Times New Roman"/>
      <w:b/>
      <w:bCs/>
      <w:sz w:val="24"/>
      <w:szCs w:val="32"/>
    </w:rPr>
  </w:style>
  <w:style w:type="paragraph" w:customStyle="1" w:styleId="20">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21">
    <w:name w:val="批注框文本 Char"/>
    <w:basedOn w:val="12"/>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校内导师</c:v>
                </c:pt>
              </c:strCache>
            </c:strRef>
          </c:tx>
          <c:spPr>
            <a:solidFill>
              <a:schemeClr val="accent1"/>
            </a:solidFill>
            <a:ln>
              <a:noFill/>
            </a:ln>
            <a:effectLst/>
            <a:sp3d/>
          </c:spPr>
          <c:invertIfNegative val="0"/>
          <c:dLbls>
            <c:delete val="1"/>
          </c:dLbls>
          <c:cat>
            <c:strRef>
              <c:f>Sheet1!$B$1:$E$1</c:f>
              <c:strCache>
                <c:ptCount val="4"/>
                <c:pt idx="0">
                  <c:v>正高级</c:v>
                </c:pt>
                <c:pt idx="1">
                  <c:v>副高级</c:v>
                </c:pt>
                <c:pt idx="2">
                  <c:v>中级</c:v>
                </c:pt>
                <c:pt idx="3">
                  <c:v>其他</c:v>
                </c:pt>
              </c:strCache>
            </c:strRef>
          </c:cat>
          <c:val>
            <c:numRef>
              <c:f>Sheet1!$B$2:$E$2</c:f>
              <c:numCache>
                <c:formatCode>General</c:formatCode>
                <c:ptCount val="4"/>
                <c:pt idx="0">
                  <c:v>26</c:v>
                </c:pt>
                <c:pt idx="1">
                  <c:v>42</c:v>
                </c:pt>
                <c:pt idx="2">
                  <c:v>32</c:v>
                </c:pt>
                <c:pt idx="3">
                  <c:v>0</c:v>
                </c:pt>
              </c:numCache>
            </c:numRef>
          </c:val>
        </c:ser>
        <c:ser>
          <c:idx val="1"/>
          <c:order val="1"/>
          <c:tx>
            <c:strRef>
              <c:f>Sheet1!$A$3</c:f>
              <c:strCache>
                <c:ptCount val="1"/>
                <c:pt idx="0">
                  <c:v>校外导师</c:v>
                </c:pt>
              </c:strCache>
            </c:strRef>
          </c:tx>
          <c:spPr>
            <a:solidFill>
              <a:schemeClr val="accent2"/>
            </a:solidFill>
            <a:ln>
              <a:noFill/>
            </a:ln>
            <a:effectLst/>
            <a:sp3d/>
          </c:spPr>
          <c:invertIfNegative val="0"/>
          <c:dLbls>
            <c:delete val="1"/>
          </c:dLbls>
          <c:cat>
            <c:strRef>
              <c:f>Sheet1!$B$1:$E$1</c:f>
              <c:strCache>
                <c:ptCount val="4"/>
                <c:pt idx="0">
                  <c:v>正高级</c:v>
                </c:pt>
                <c:pt idx="1">
                  <c:v>副高级</c:v>
                </c:pt>
                <c:pt idx="2">
                  <c:v>中级</c:v>
                </c:pt>
                <c:pt idx="3">
                  <c:v>其他</c:v>
                </c:pt>
              </c:strCache>
            </c:strRef>
          </c:cat>
          <c:val>
            <c:numRef>
              <c:f>Sheet1!$B$3:$E$3</c:f>
              <c:numCache>
                <c:formatCode>General</c:formatCode>
                <c:ptCount val="4"/>
                <c:pt idx="0">
                  <c:v>24</c:v>
                </c:pt>
                <c:pt idx="1">
                  <c:v>61</c:v>
                </c:pt>
                <c:pt idx="2">
                  <c:v>1</c:v>
                </c:pt>
                <c:pt idx="3">
                  <c:v>5</c:v>
                </c:pt>
              </c:numCache>
            </c:numRef>
          </c:val>
        </c:ser>
        <c:dLbls>
          <c:showLegendKey val="0"/>
          <c:showVal val="0"/>
          <c:showCatName val="0"/>
          <c:showSerName val="0"/>
          <c:showPercent val="0"/>
          <c:showBubbleSize val="0"/>
        </c:dLbls>
        <c:gapWidth val="150"/>
        <c:axId val="130524672"/>
        <c:axId val="130526208"/>
      </c:barChart>
      <c:catAx>
        <c:axId val="130524672"/>
        <c:scaling>
          <c:orientation val="minMax"/>
        </c:scaling>
        <c:delete val="0"/>
        <c:axPos val="b"/>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130526208"/>
        <c:crosses val="autoZero"/>
        <c:auto val="1"/>
        <c:lblAlgn val="ctr"/>
        <c:lblOffset val="100"/>
        <c:noMultiLvlLbl val="0"/>
      </c:catAx>
      <c:valAx>
        <c:axId val="130526208"/>
        <c:scaling>
          <c:orientation val="minMax"/>
        </c:scaling>
        <c:delete val="0"/>
        <c:axPos val="l"/>
        <c:majorGridlines>
          <c:spPr>
            <a:ln w="9525" cap="flat" cmpd="sng" algn="ctr">
              <a:noFill/>
              <a:prstDash val="solid"/>
              <a:round/>
            </a:ln>
            <a:effectLst/>
          </c:spPr>
        </c:majorGridlines>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130524672"/>
        <c:crosses val="autoZero"/>
        <c:crossBetween val="between"/>
      </c:valAx>
      <c:spPr>
        <a:noFill/>
        <a:ln>
          <a:noFill/>
        </a:ln>
        <a:effectLst/>
      </c:spPr>
    </c:plotArea>
    <c:legend>
      <c:legendPos val="b"/>
      <c:layout>
        <c:manualLayout>
          <c:xMode val="edge"/>
          <c:yMode val="edge"/>
          <c:x val="0.5768599941913"/>
          <c:y val="0.130486947377756"/>
          <c:w val="0.358838832829181"/>
          <c:h val="0.17534776902887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prstDash val="solid"/>
      <a:round/>
    </a:ln>
    <a:effectLst/>
  </c:spPr>
  <c:txPr>
    <a:bodyPr/>
    <a:lstStyle/>
    <a:p>
      <a:pPr>
        <a:defRPr lang="zh-CN">
          <a:solidFill>
            <a:schemeClr val="tx1"/>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lumMod val="75000"/>
              </a:schemeClr>
            </a:solidFill>
            <a:ln>
              <a:noFill/>
            </a:ln>
            <a:effectLst/>
            <a:sp3d/>
          </c:spPr>
          <c:invertIfNegative val="0"/>
          <c:dLbls>
            <c:delete val="1"/>
          </c:dLbls>
          <c:cat>
            <c:strRef>
              <c:f>Sheet1!$H$1:$H$4</c:f>
              <c:strCache>
                <c:ptCount val="4"/>
                <c:pt idx="0">
                  <c:v>党政机关</c:v>
                </c:pt>
                <c:pt idx="1">
                  <c:v>企业单位</c:v>
                </c:pt>
                <c:pt idx="2">
                  <c:v>高校</c:v>
                </c:pt>
                <c:pt idx="3">
                  <c:v>林业事业单位</c:v>
                </c:pt>
              </c:strCache>
            </c:strRef>
          </c:cat>
          <c:val>
            <c:numRef>
              <c:f>Sheet1!$I$1:$I$4</c:f>
              <c:numCache>
                <c:formatCode>General</c:formatCode>
                <c:ptCount val="4"/>
                <c:pt idx="0">
                  <c:v>17</c:v>
                </c:pt>
                <c:pt idx="1">
                  <c:v>7</c:v>
                </c:pt>
                <c:pt idx="2">
                  <c:v>5</c:v>
                </c:pt>
                <c:pt idx="3">
                  <c:v>59</c:v>
                </c:pt>
              </c:numCache>
            </c:numRef>
          </c:val>
        </c:ser>
        <c:dLbls>
          <c:showLegendKey val="0"/>
          <c:showVal val="0"/>
          <c:showCatName val="0"/>
          <c:showSerName val="0"/>
          <c:showPercent val="0"/>
          <c:showBubbleSize val="0"/>
        </c:dLbls>
        <c:gapWidth val="150"/>
        <c:axId val="258153856"/>
        <c:axId val="355665024"/>
      </c:barChart>
      <c:catAx>
        <c:axId val="258153856"/>
        <c:scaling>
          <c:orientation val="minMax"/>
        </c:scaling>
        <c:delete val="0"/>
        <c:axPos val="b"/>
        <c:numFmt formatCode="General" sourceLinked="1"/>
        <c:majorTickMark val="none"/>
        <c:minorTickMark val="none"/>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55665024"/>
        <c:crosses val="autoZero"/>
        <c:auto val="1"/>
        <c:lblAlgn val="ctr"/>
        <c:lblOffset val="100"/>
        <c:noMultiLvlLbl val="0"/>
      </c:catAx>
      <c:valAx>
        <c:axId val="355665024"/>
        <c:scaling>
          <c:orientation val="minMax"/>
        </c:scaling>
        <c:delete val="0"/>
        <c:axPos val="l"/>
        <c:majorGridlines>
          <c:spPr>
            <a:ln w="9525" cap="flat" cmpd="sng" algn="ctr">
              <a:noFill/>
              <a:prstDash val="solid"/>
              <a:round/>
            </a:ln>
            <a:effectLst/>
          </c:spPr>
        </c:majorGridlines>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8153856"/>
        <c:crosses val="autoZero"/>
        <c:crossBetween val="between"/>
      </c:valAx>
      <c:spPr>
        <a:noFill/>
        <a:ln w="25400">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BD33A-10A4-4BD6-AD9E-8B30A90453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9176</Words>
  <Characters>9358</Characters>
  <Lines>77</Lines>
  <Paragraphs>21</Paragraphs>
  <TotalTime>1</TotalTime>
  <ScaleCrop>false</ScaleCrop>
  <LinksUpToDate>false</LinksUpToDate>
  <CharactersWithSpaces>9450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2021-12-31T06:25:00Z</dcterms:created>
  <dc:creator>福建农林大学</dc:creator>
  <cp:lastModifiedBy>1</cp:lastModifiedBy>
  <dcterms:modified xsi:type="dcterms:W3CDTF">2023-09-24T07:04:20Z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1CB40BDC6E6348D69BB5DFCAE32CDCC1_12</vt:lpwstr>
  </property>
</Properties>
</file>