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default" w:ascii="仿宋_GB2312" w:eastAsia="仿宋_GB2312"/>
          <w:sz w:val="32"/>
          <w:szCs w:val="32"/>
          <w:lang w:val="en-US" w:eastAsia="zh-CN"/>
        </w:rPr>
      </w:pPr>
      <w:r>
        <w:rPr>
          <w:rFonts w:hint="eastAsia" w:ascii="方正小标宋_GBK" w:hAnsi="仿宋" w:eastAsia="方正小标宋_GBK"/>
          <w:sz w:val="36"/>
          <w:szCs w:val="36"/>
          <w:lang w:val="en-US" w:eastAsia="zh-CN"/>
        </w:rPr>
        <w:t>马克思主义学院2020年学位点建设报告</w:t>
      </w:r>
    </w:p>
    <w:p>
      <w:pPr>
        <w:spacing w:line="360" w:lineRule="auto"/>
        <w:ind w:firstLine="640" w:firstLineChars="200"/>
        <w:rPr>
          <w:rFonts w:ascii="仿宋_GB2312" w:hAnsi="黑体" w:eastAsia="仿宋_GB2312" w:cs="黑体"/>
          <w:bCs/>
          <w:sz w:val="32"/>
          <w:szCs w:val="32"/>
        </w:rPr>
      </w:pPr>
      <w:r>
        <w:rPr>
          <w:rFonts w:hint="eastAsia" w:ascii="仿宋_GB2312" w:hAnsi="黑体" w:eastAsia="仿宋_GB2312" w:cs="黑体"/>
          <w:bCs/>
          <w:sz w:val="32"/>
          <w:szCs w:val="32"/>
        </w:rPr>
        <w:t>一、学位授权点基本情况</w:t>
      </w:r>
    </w:p>
    <w:p>
      <w:pPr>
        <w:numPr>
          <w:ilvl w:val="0"/>
          <w:numId w:val="1"/>
        </w:numPr>
        <w:spacing w:line="360" w:lineRule="auto"/>
        <w:ind w:firstLine="640" w:firstLineChars="200"/>
        <w:rPr>
          <w:rFonts w:hint="eastAsia" w:ascii="仿宋_GB2312" w:hAnsi="仿宋" w:eastAsia="仿宋_GB2312" w:cs="仿宋"/>
          <w:b/>
          <w:bCs/>
          <w:sz w:val="32"/>
          <w:szCs w:val="32"/>
        </w:rPr>
      </w:pPr>
      <w:r>
        <w:rPr>
          <w:rFonts w:hint="eastAsia" w:ascii="仿宋_GB2312" w:hAnsi="仿宋" w:eastAsia="仿宋_GB2312" w:cs="仿宋"/>
          <w:sz w:val="32"/>
          <w:szCs w:val="32"/>
        </w:rPr>
        <w:t>目标与标准</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1.学科年度建设目标</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位点培养研究生的目标定位是：对马克思主义理论产生的历史必然性、价值目标、基本特征等有深刻理解；对马克思主义发展的历史过程、历史经验、发展规律及当代国外马克思主义的理论、思潮及流派有清晰的了解；对中国近现代历史有充分的认识；研究马克思主义理论的前沿问题及马克思主义中国化、时代化、大众化的基本问题；掌握思想政治教育的基本理论与科学方法；具有良好的马克思主义理论素养和专业基础知识，具备能够较好运用马克思主义立场、观点和方法独立分析和解决现实问题的能力，成为能够胜任本学科相关的理论研究、教育教学、宣传和实际工作的专门人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2．学位授予标准</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（1）基本知识</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了解马克思主义理论产生的历史必然性，马克思主义理论体系的基本结构，马克思主义的价值目标，马克思主义的基本特征；了解马克思主义发展的历史过程、历史经验和发展规律；了解当代国外马克思主义的理论、思潮及流派；了解中国近现代历史和人民选择马克思主义、中国共产党，社会主义道路和改革开放的历史进程和基本经验；了解马克思主义理论的前沿问题及马克思主义中国化、时代化、大众化的基本问题；了解思想政治教育的基本理论与科学方法。能够较好的运用马克思主义立场、观点和方法，分析和总结马克思主义理论发展和指导实践过程中的经验教训，并研究和分析现实社会问题。</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（2）基本素质</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一，学术素养。认真阅读马列主义经典著作和中国化马克思主义重要文献，有比较深厚的马克思主义的理论功底和相关专业基础知识。了解学科研究的最新学术动态和最新研究成果，善于在学术讨论中得到启发和提高。具有较好的学术洞察力、学术潜力和创新意识以及良好的人文综合素养；具有求实创新、理性质疑的精神。</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二，学术道德。硕士生应恪守学术道德规范等国家有关法律、法规，自觉维护学术诚信，规范学术行为，充分尊重他人的劳动和研究成果，严禁抄袭、剽窃、侵吞、篡改他人学术成果，严禁伪造或篡改数据、文献、注释，坚决抵制一切学术不端问题的发生。如果存在学术不端行为，根据国家和福建农林大学学术不端行为查处的相关规定进行相应惩处。</w:t>
      </w:r>
    </w:p>
    <w:p>
      <w:pPr>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（3）基本能力</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一，获取知识的能力。了解本学科学术研究的前沿动态和最新成果，积极开展调查研究，掌握真实而丰富的第一手研究资料；查阅本学科内有影响力的高质量学术期刊和网络资源等手段，获得本学科文献资料，有效获取专业知识和研究方法；养成学术思考的兴趣，掌握学术研究的科学方法。</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二，学术研究能力。针对实际问题，具有较好的揭示理论与实践之间、相关理论与本学科理论之间的联系，以及理论体系内部之间存在的矛盾，并善于讲这些联系和矛盾转化为有价值的研究问题的能力。在导师的指导下，积极参与学术研究训练，注意提高自己科学研究和论文写作的能力。</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其三，实践能力。贯彻理论联系实际的原则，注重提高分析问题和解决问题的能力，不仅要学好理论，还要运用好理论；具有较强的组织协调和与他人合作的能力。</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四，学术交流能力。具有良好的口头、书面和演示性交流的技能，在撰写学术报告与学术交流中能清楚地表达自己的学术观点，积极展示自己的学术成果，能对自己的研究计划、研究方法、研究结果进行陈述和答辩，并对他人的研究工作进行评价和借鉴，并在学术交流中提高学术能力。</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其五，具备良好的口头表达能力、组织协调能力等。掌握一门外国语，能比较熟练地阅读本学科的外文资料。</w:t>
      </w:r>
    </w:p>
    <w:p>
      <w:pPr>
        <w:numPr>
          <w:ilvl w:val="0"/>
          <w:numId w:val="1"/>
        </w:numPr>
        <w:spacing w:line="360" w:lineRule="auto"/>
        <w:ind w:left="0" w:leftChars="0" w:firstLine="640" w:firstLineChars="200"/>
        <w:rPr>
          <w:rFonts w:hint="eastAsia" w:ascii="仿宋_GB2312" w:eastAsia="仿宋_GB2312"/>
          <w:b/>
          <w:bCs/>
          <w:sz w:val="32"/>
          <w:szCs w:val="32"/>
        </w:rPr>
      </w:pPr>
      <w:r>
        <w:rPr>
          <w:rFonts w:hint="eastAsia" w:ascii="仿宋_GB2312" w:eastAsia="仿宋_GB2312"/>
          <w:sz w:val="32"/>
          <w:szCs w:val="32"/>
        </w:rPr>
        <w:t>基本条件：培养方向、师资队伍、科学研究、教学科研支撑、奖助体系、管理服务</w:t>
      </w:r>
    </w:p>
    <w:p>
      <w:pPr>
        <w:adjustRightIn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1.培养方向</w:t>
      </w:r>
    </w:p>
    <w:p>
      <w:pPr>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本学位点共设置四个二级研究方向，即：</w:t>
      </w:r>
    </w:p>
    <w:p>
      <w:pPr>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（1）马克思主义基本原理。聚焦马克思主义理论和重大实践问题，在网络文化软实力、意识形态话语权、马克思主义无神论等方面形成一系列有鲜明理论价值和现实价值的研究成果。</w:t>
      </w:r>
    </w:p>
    <w:p>
      <w:pPr>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（2）马克思主义中国化研究。围绕农村的文化、土地、社区、生态、基层党建、精准扶贫、社会治理等“三农”问题进行前瞻探讨，在中国特色农村问题、福建乡村经济社会发展等方面研究形成了特色。</w:t>
      </w:r>
    </w:p>
    <w:p>
      <w:pPr>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（3）思想政治教育。以研究党的思想政治教育史、思想政治教育原理与方法为基础，突出研究青年社会主义核心价值观及伦理道德认同，加强思想政治教育的路径、载体和方法。</w:t>
      </w:r>
    </w:p>
    <w:p>
      <w:pPr>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中国近现代史基本问题研究。注重历史与现实的结合：一方面致力于新民主主义革命时期党的先进性建设、民生建设等研究的实践梳理与经验总结，另一方面坚持问题导向和实践导向，加强地域特色研究，围绕海峡两岸历史与文化交流、福建红色历史与文化等方面研究。</w:t>
      </w:r>
    </w:p>
    <w:p>
      <w:pPr>
        <w:adjustRightIn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 xml:space="preserve">2.师资队伍 </w:t>
      </w:r>
    </w:p>
    <w:p>
      <w:pPr>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学位点现有师资46人，其中硕士生导师18名，教授9人，有博士学位者8名，占66.67%。学位点拥有全国思政课教学指导分委会委员1人，全国优秀中青年思想政治理论课教师择优资助计划3人，全国高校思想政治理论课教师年度影响力及提名人物3人，全国高校思想政治理论课教学骨干1人，全国优秀教师1人，霍英东全国青年教师1人，“福建省五一巾帼标兵”和“金牌工人”荣誉称号1人，以及其他省级人才5人。现有省委理论宣讲团专家成员2人，校党委理论宣讲团成员8人。</w:t>
      </w:r>
    </w:p>
    <w:p>
      <w:pPr>
        <w:numPr>
          <w:ilvl w:val="0"/>
          <w:numId w:val="2"/>
        </w:numPr>
        <w:adjustRightInd w:val="0"/>
        <w:spacing w:line="560" w:lineRule="exact"/>
        <w:ind w:firstLine="643" w:firstLineChars="20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其他</w:t>
      </w:r>
    </w:p>
    <w:p>
      <w:pPr>
        <w:numPr>
          <w:ilvl w:val="0"/>
          <w:numId w:val="0"/>
        </w:numPr>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本学科拥有教育部级及省级研究基地、省级教学平台共10个</w:t>
      </w:r>
      <w:r>
        <w:rPr>
          <w:rFonts w:hint="eastAsia" w:ascii="仿宋_GB2312" w:eastAsia="仿宋_GB2312"/>
          <w:sz w:val="32"/>
          <w:szCs w:val="32"/>
          <w:lang w:eastAsia="zh-CN"/>
        </w:rPr>
        <w:t>。</w:t>
      </w:r>
      <w:r>
        <w:rPr>
          <w:rFonts w:hint="eastAsia" w:ascii="仿宋_GB2312" w:eastAsia="仿宋_GB2312"/>
          <w:sz w:val="32"/>
          <w:szCs w:val="32"/>
        </w:rPr>
        <w:t>建立起涵盖“三助”岗位、专项奖学金(研究生国家奖学金、严家显最高奖学金等)、研究生学业奖学金、国家助学货款、社会资助项目、临时困难补助及普惠化助学金等在内的全方位、立体式、多层面的奖助体系。</w:t>
      </w:r>
    </w:p>
    <w:p>
      <w:pPr>
        <w:numPr>
          <w:ilvl w:val="0"/>
          <w:numId w:val="1"/>
        </w:numPr>
        <w:spacing w:line="360" w:lineRule="auto"/>
        <w:ind w:left="0" w:leftChars="0" w:firstLine="640" w:firstLineChars="200"/>
        <w:rPr>
          <w:rFonts w:hint="eastAsia" w:ascii="仿宋_GB2312" w:hAnsi="黑体" w:eastAsia="仿宋_GB2312" w:cs="黑体"/>
          <w:b/>
          <w:sz w:val="32"/>
          <w:szCs w:val="32"/>
        </w:rPr>
      </w:pPr>
      <w:r>
        <w:rPr>
          <w:rFonts w:hint="eastAsia" w:ascii="仿宋_GB2312" w:hAnsi="黑体" w:eastAsia="仿宋_GB2312" w:cs="黑体"/>
          <w:bCs/>
          <w:sz w:val="32"/>
          <w:szCs w:val="32"/>
        </w:rPr>
        <w:t>人才培养：思想政治教育、师德师风建设、招生选拔、课程教学、导师管理、学术训练或实习实践</w:t>
      </w:r>
    </w:p>
    <w:p>
      <w:pPr>
        <w:ind w:firstLine="643" w:firstLineChars="200"/>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1.</w:t>
      </w:r>
      <w:r>
        <w:rPr>
          <w:rFonts w:hint="eastAsia" w:ascii="仿宋_GB2312" w:hAnsi="黑体" w:eastAsia="仿宋_GB2312" w:cs="黑体"/>
          <w:b/>
          <w:bCs w:val="0"/>
          <w:sz w:val="32"/>
          <w:szCs w:val="32"/>
        </w:rPr>
        <w:t>思想政治教育</w:t>
      </w:r>
    </w:p>
    <w:p>
      <w:pPr>
        <w:ind w:firstLine="640" w:firstLineChars="200"/>
      </w:pPr>
      <w:r>
        <w:rPr>
          <w:rFonts w:hint="eastAsia" w:ascii="仿宋_GB2312" w:hAnsi="黑体" w:eastAsia="仿宋_GB2312" w:cs="黑体"/>
          <w:bCs/>
          <w:sz w:val="32"/>
          <w:szCs w:val="32"/>
          <w:lang w:val="en-US" w:eastAsia="zh-CN"/>
        </w:rPr>
        <w:t>为强化研究生的思想政治教育，本学位点采取了一系列得力举措，取得了显著成效。一是明确导师在研究生思想政治教育中“第一责任人”的作用。学院要求导师对学生的日常行为规范、学术道德、学术诚信等开展多种形式的指导，并时常关注学生的思想动态、情绪变化，对不良心理情绪及时进行疏解。二是发挥先进典型在党建工作中的“助推器”作用，使党员教育与研究生的实际需求相结合、学术科研相结合、成长成才相结合。</w:t>
      </w:r>
    </w:p>
    <w:p>
      <w:pPr>
        <w:ind w:firstLine="643" w:firstLineChars="200"/>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2.</w:t>
      </w:r>
      <w:r>
        <w:rPr>
          <w:rFonts w:hint="eastAsia" w:ascii="仿宋_GB2312" w:hAnsi="黑体" w:eastAsia="仿宋_GB2312" w:cs="黑体"/>
          <w:b/>
          <w:bCs w:val="0"/>
          <w:sz w:val="32"/>
          <w:szCs w:val="32"/>
        </w:rPr>
        <w:t>师德师风建设</w:t>
      </w:r>
    </w:p>
    <w:p>
      <w:pPr>
        <w:ind w:firstLine="640" w:firstLineChars="200"/>
        <w:rPr>
          <w:rFonts w:hint="eastAsia"/>
          <w:lang w:val="en-US" w:eastAsia="zh-CN"/>
        </w:rPr>
      </w:pPr>
      <w:r>
        <w:rPr>
          <w:rFonts w:hint="eastAsia" w:ascii="仿宋_GB2312" w:hAnsi="黑体" w:eastAsia="仿宋_GB2312" w:cs="黑体"/>
          <w:bCs/>
          <w:sz w:val="32"/>
          <w:szCs w:val="32"/>
          <w:lang w:val="en-US" w:eastAsia="zh-CN"/>
        </w:rPr>
        <w:t>本学位点坚持把师德师风和意识形态表现作为评价导师的第一标准。根据上级部门要求，以及学校《福建农林大学教师职业行为负面清单及师德失范行为处理办法》、《师德师风和意识形态测评考核实施细则》等文件，将为人师表、学术道德、学术规范等纳入个人诚信体系，坚持自律与监督并重，严格执行“师德师风”一票否决制。同时，根据《福建农林大学关于建立健全师德建设长效机制的实施办法》，学院制定了《学科师德师风建设自查表》和《马克思主义学院教师师德师风承诺书》，着力健全师德师风建设长效机制，确保师德师风建设机制化、常态化。此外，通过定期组织政治学习，树立师德师风正面典型，要求教师课堂讲授有纪律，行为言论有底线，做“为党育人、为国育才”的合格的人民教师。</w:t>
      </w:r>
    </w:p>
    <w:p>
      <w:pPr>
        <w:ind w:firstLine="643" w:firstLineChars="200"/>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3.</w:t>
      </w:r>
      <w:r>
        <w:rPr>
          <w:rFonts w:hint="eastAsia" w:ascii="仿宋_GB2312" w:hAnsi="黑体" w:eastAsia="仿宋_GB2312" w:cs="黑体"/>
          <w:b/>
          <w:bCs w:val="0"/>
          <w:sz w:val="32"/>
          <w:szCs w:val="32"/>
        </w:rPr>
        <w:t>招生选拔</w:t>
      </w:r>
    </w:p>
    <w:p>
      <w:pPr>
        <w:ind w:firstLine="640" w:firstLineChars="200"/>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本学位点2020年共录取32名研究生新生。</w:t>
      </w:r>
    </w:p>
    <w:p>
      <w:pPr>
        <w:pStyle w:val="2"/>
        <w:adjustRightInd w:val="0"/>
        <w:snapToGrid w:val="0"/>
        <w:spacing w:before="120" w:after="120" w:line="276" w:lineRule="auto"/>
        <w:jc w:val="center"/>
        <w:rPr>
          <w:rFonts w:hint="eastAsia" w:ascii="Times New Roman" w:hAnsi="Times New Roman" w:cs="Times New Roman"/>
          <w:b w:val="0"/>
          <w:kern w:val="2"/>
          <w:sz w:val="28"/>
          <w:szCs w:val="28"/>
          <w:lang w:val="en-US" w:eastAsia="zh-CN"/>
        </w:rPr>
      </w:pPr>
      <w:r>
        <w:rPr>
          <w:rFonts w:hint="eastAsia" w:ascii="Times New Roman" w:hAnsi="Times New Roman" w:cs="Times New Roman"/>
          <w:b w:val="0"/>
          <w:kern w:val="2"/>
          <w:sz w:val="28"/>
          <w:szCs w:val="28"/>
          <w:lang w:val="en-US" w:eastAsia="zh-CN"/>
        </w:rPr>
        <w:t>2020年本学位点招生情况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0"/>
        <w:gridCol w:w="354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420"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仿宋_GB2312" w:eastAsia="仿宋_GB2312"/>
                <w:color w:val="000000"/>
                <w:szCs w:val="21"/>
              </w:rPr>
            </w:pPr>
            <w:r>
              <w:rPr>
                <w:rFonts w:hint="eastAsia" w:ascii="仿宋_GB2312" w:eastAsia="仿宋_GB2312"/>
                <w:color w:val="000000"/>
                <w:szCs w:val="21"/>
              </w:rPr>
              <w:t>学科方向名称</w:t>
            </w:r>
          </w:p>
        </w:tc>
        <w:tc>
          <w:tcPr>
            <w:tcW w:w="354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textAlignment w:val="center"/>
              <w:rPr>
                <w:rFonts w:hint="eastAsia" w:ascii="仿宋_GB2312" w:eastAsia="仿宋_GB2312"/>
                <w:color w:val="000000"/>
                <w:szCs w:val="21"/>
              </w:rPr>
            </w:pPr>
            <w:r>
              <w:rPr>
                <w:rFonts w:hint="eastAsia" w:ascii="仿宋_GB2312" w:eastAsia="仿宋_GB2312"/>
                <w:color w:val="000000"/>
                <w:szCs w:val="21"/>
              </w:rPr>
              <w:t>项目</w:t>
            </w:r>
          </w:p>
        </w:tc>
        <w:tc>
          <w:tcPr>
            <w:tcW w:w="212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仿宋_GB2312" w:hAnsi="Times New Roman" w:eastAsia="仿宋_GB2312"/>
                <w:color w:val="000000"/>
                <w:szCs w:val="21"/>
              </w:rPr>
            </w:pPr>
            <w:r>
              <w:rPr>
                <w:rFonts w:hint="eastAsia" w:ascii="仿宋_GB2312" w:hAnsi="Times New Roman" w:eastAsia="仿宋_GB2312"/>
                <w:color w:val="000000"/>
                <w:szCs w:val="21"/>
              </w:rPr>
              <w:t>202</w:t>
            </w:r>
            <w:r>
              <w:rPr>
                <w:rFonts w:hint="eastAsia" w:ascii="仿宋_GB2312" w:hAnsi="Times New Roman" w:eastAsia="仿宋_GB2312"/>
                <w:color w:val="000000"/>
                <w:szCs w:val="21"/>
                <w:lang w:val="en-US" w:eastAsia="zh-CN"/>
              </w:rPr>
              <w:t>0</w:t>
            </w:r>
            <w:r>
              <w:rPr>
                <w:rFonts w:hint="eastAsia" w:ascii="仿宋_GB2312" w:hAnsi="Times New Roman" w:eastAsia="仿宋_GB2312"/>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420" w:type="dxa"/>
            <w:vMerge w:val="restart"/>
            <w:tcBorders>
              <w:top w:val="nil"/>
              <w:left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马克思主义理论</w:t>
            </w:r>
          </w:p>
          <w:p>
            <w:pPr>
              <w:jc w:val="center"/>
              <w:rPr>
                <w:rFonts w:hint="eastAsia" w:ascii="仿宋_GB2312" w:eastAsia="仿宋_GB2312"/>
                <w:color w:val="000000"/>
                <w:szCs w:val="21"/>
              </w:rPr>
            </w:pPr>
            <w:r>
              <w:rPr>
                <w:rFonts w:hint="eastAsia" w:ascii="仿宋_GB2312" w:eastAsia="仿宋_GB2312"/>
                <w:color w:val="000000"/>
                <w:szCs w:val="21"/>
              </w:rPr>
              <w:t>（一级学科）</w:t>
            </w:r>
          </w:p>
        </w:tc>
        <w:tc>
          <w:tcPr>
            <w:tcW w:w="354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left"/>
              <w:textAlignment w:val="center"/>
              <w:rPr>
                <w:rFonts w:hint="eastAsia" w:ascii="仿宋_GB2312" w:eastAsia="仿宋_GB2312"/>
                <w:color w:val="000000"/>
                <w:szCs w:val="21"/>
              </w:rPr>
            </w:pPr>
            <w:r>
              <w:rPr>
                <w:rFonts w:hint="eastAsia" w:ascii="仿宋_GB2312" w:eastAsia="仿宋_GB2312"/>
                <w:color w:val="000000"/>
                <w:szCs w:val="21"/>
              </w:rPr>
              <w:t>研究生招生人数</w:t>
            </w:r>
          </w:p>
        </w:tc>
        <w:tc>
          <w:tcPr>
            <w:tcW w:w="212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rPr>
              <w:t>3</w:t>
            </w:r>
            <w:r>
              <w:rPr>
                <w:rFonts w:hint="eastAsia" w:ascii="仿宋_GB2312" w:eastAsia="仿宋_GB2312"/>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420"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olor w:val="000000"/>
                <w:szCs w:val="21"/>
              </w:rPr>
            </w:pPr>
          </w:p>
        </w:tc>
        <w:tc>
          <w:tcPr>
            <w:tcW w:w="354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left"/>
              <w:textAlignment w:val="center"/>
              <w:rPr>
                <w:rFonts w:hint="eastAsia" w:ascii="仿宋_GB2312" w:eastAsia="仿宋_GB2312"/>
                <w:color w:val="000000"/>
                <w:szCs w:val="21"/>
              </w:rPr>
            </w:pPr>
            <w:r>
              <w:rPr>
                <w:rFonts w:hint="eastAsia" w:ascii="仿宋_GB2312" w:eastAsia="仿宋_GB2312"/>
                <w:color w:val="000000"/>
                <w:szCs w:val="21"/>
              </w:rPr>
              <w:t>其中：全日制招生人数</w:t>
            </w:r>
          </w:p>
        </w:tc>
        <w:tc>
          <w:tcPr>
            <w:tcW w:w="212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rPr>
              <w:t>3</w:t>
            </w:r>
            <w:r>
              <w:rPr>
                <w:rFonts w:hint="eastAsia" w:ascii="仿宋_GB2312" w:eastAsia="仿宋_GB2312"/>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420"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olor w:val="000000"/>
                <w:szCs w:val="21"/>
              </w:rPr>
            </w:pPr>
          </w:p>
        </w:tc>
        <w:tc>
          <w:tcPr>
            <w:tcW w:w="354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left"/>
              <w:textAlignment w:val="center"/>
              <w:rPr>
                <w:rFonts w:hint="eastAsia" w:ascii="仿宋_GB2312" w:eastAsia="仿宋_GB2312"/>
                <w:color w:val="000000"/>
                <w:szCs w:val="21"/>
              </w:rPr>
            </w:pPr>
            <w:r>
              <w:rPr>
                <w:rFonts w:hint="eastAsia" w:ascii="仿宋_GB2312" w:eastAsia="仿宋_GB2312"/>
                <w:color w:val="000000"/>
                <w:szCs w:val="21"/>
              </w:rPr>
              <w:t>非全日制招生人数</w:t>
            </w:r>
          </w:p>
        </w:tc>
        <w:tc>
          <w:tcPr>
            <w:tcW w:w="212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仿宋_GB2312" w:eastAsia="仿宋_GB2312"/>
                <w:color w:val="000000"/>
                <w:szCs w:val="21"/>
              </w:rPr>
            </w:pPr>
            <w:r>
              <w:rPr>
                <w:rFonts w:hint="eastAsia" w:ascii="仿宋_GB2312" w:eastAsia="仿宋_GB2312"/>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420"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olor w:val="000000"/>
                <w:szCs w:val="21"/>
              </w:rPr>
            </w:pPr>
          </w:p>
        </w:tc>
        <w:tc>
          <w:tcPr>
            <w:tcW w:w="354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left"/>
              <w:textAlignment w:val="center"/>
              <w:rPr>
                <w:rFonts w:hint="eastAsia" w:ascii="仿宋_GB2312" w:eastAsia="仿宋_GB2312"/>
                <w:color w:val="000000"/>
                <w:szCs w:val="21"/>
              </w:rPr>
            </w:pPr>
            <w:r>
              <w:rPr>
                <w:rFonts w:hint="eastAsia" w:ascii="仿宋_GB2312" w:eastAsia="仿宋_GB2312"/>
                <w:color w:val="000000"/>
                <w:szCs w:val="21"/>
              </w:rPr>
              <w:t>招录学生中本科推免生人数</w:t>
            </w:r>
          </w:p>
        </w:tc>
        <w:tc>
          <w:tcPr>
            <w:tcW w:w="212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仿宋_GB2312" w:eastAsia="仿宋_GB2312"/>
                <w:color w:val="000000"/>
                <w:szCs w:val="21"/>
              </w:rPr>
            </w:pPr>
            <w:r>
              <w:rPr>
                <w:rFonts w:hint="eastAsia" w:ascii="仿宋_GB2312" w:eastAsia="仿宋_GB2312"/>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420" w:type="dxa"/>
            <w:vMerge w:val="continue"/>
            <w:tcBorders>
              <w:top w:val="nil"/>
              <w:left w:val="single" w:color="auto" w:sz="4" w:space="0"/>
              <w:bottom w:val="single" w:color="auto" w:sz="4" w:space="0"/>
              <w:right w:val="single" w:color="auto" w:sz="4" w:space="0"/>
            </w:tcBorders>
            <w:noWrap w:val="0"/>
            <w:vAlign w:val="center"/>
          </w:tcPr>
          <w:p>
            <w:pPr>
              <w:rPr>
                <w:rFonts w:hint="eastAsia" w:ascii="仿宋_GB2312" w:eastAsia="仿宋_GB2312"/>
                <w:color w:val="000000"/>
                <w:szCs w:val="21"/>
              </w:rPr>
            </w:pPr>
          </w:p>
        </w:tc>
        <w:tc>
          <w:tcPr>
            <w:tcW w:w="354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left"/>
              <w:textAlignment w:val="center"/>
              <w:rPr>
                <w:rFonts w:hint="eastAsia" w:ascii="仿宋_GB2312" w:eastAsia="仿宋_GB2312"/>
                <w:color w:val="000000"/>
                <w:szCs w:val="21"/>
              </w:rPr>
            </w:pPr>
            <w:r>
              <w:rPr>
                <w:rFonts w:hint="eastAsia" w:ascii="仿宋_GB2312" w:eastAsia="仿宋_GB2312"/>
                <w:color w:val="000000"/>
                <w:szCs w:val="21"/>
              </w:rPr>
              <w:t>招录学生中普通招考人数</w:t>
            </w:r>
          </w:p>
        </w:tc>
        <w:tc>
          <w:tcPr>
            <w:tcW w:w="212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jc w:val="center"/>
              <w:rPr>
                <w:rFonts w:hint="eastAsia" w:ascii="仿宋_GB2312" w:eastAsia="仿宋_GB2312"/>
                <w:color w:val="000000"/>
                <w:szCs w:val="21"/>
                <w:lang w:eastAsia="zh-CN"/>
              </w:rPr>
            </w:pPr>
            <w:r>
              <w:rPr>
                <w:rFonts w:hint="eastAsia" w:ascii="仿宋_GB2312" w:eastAsia="仿宋_GB2312"/>
                <w:color w:val="000000"/>
                <w:szCs w:val="21"/>
              </w:rPr>
              <w:t>3</w:t>
            </w:r>
            <w:r>
              <w:rPr>
                <w:rFonts w:hint="eastAsia" w:ascii="仿宋_GB2312" w:eastAsia="仿宋_GB2312"/>
                <w:color w:val="000000"/>
                <w:szCs w:val="21"/>
                <w:lang w:val="en-US" w:eastAsia="zh-CN"/>
              </w:rPr>
              <w:t>1</w:t>
            </w:r>
          </w:p>
        </w:tc>
      </w:tr>
    </w:tbl>
    <w:p>
      <w:pPr>
        <w:rPr>
          <w:rFonts w:hint="eastAsia" w:ascii="仿宋_GB2312" w:eastAsia="仿宋_GB2312"/>
          <w:sz w:val="32"/>
          <w:szCs w:val="32"/>
        </w:rPr>
      </w:pPr>
    </w:p>
    <w:p>
      <w:pPr>
        <w:pStyle w:val="2"/>
        <w:adjustRightInd w:val="0"/>
        <w:snapToGrid w:val="0"/>
        <w:spacing w:before="120" w:after="120" w:line="276" w:lineRule="auto"/>
        <w:ind w:firstLine="643" w:firstLineChars="200"/>
        <w:jc w:val="both"/>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4.</w:t>
      </w:r>
      <w:r>
        <w:rPr>
          <w:rFonts w:hint="eastAsia" w:ascii="仿宋_GB2312" w:hAnsi="黑体" w:eastAsia="仿宋_GB2312" w:cs="黑体"/>
          <w:b/>
          <w:bCs w:val="0"/>
          <w:sz w:val="32"/>
          <w:szCs w:val="32"/>
        </w:rPr>
        <w:t>课程教学</w:t>
      </w:r>
    </w:p>
    <w:p>
      <w:pPr>
        <w:ind w:firstLine="640" w:firstLineChars="200"/>
        <w:rPr>
          <w:rFonts w:hint="default" w:ascii="仿宋_GB2312" w:hAnsi="黑体" w:eastAsia="仿宋_GB2312" w:cs="黑体"/>
          <w:bCs/>
          <w:kern w:val="2"/>
          <w:sz w:val="32"/>
          <w:szCs w:val="32"/>
          <w:lang w:val="en-US" w:eastAsia="zh-CN" w:bidi="ar-SA"/>
        </w:rPr>
      </w:pPr>
      <w:r>
        <w:rPr>
          <w:rFonts w:hint="eastAsia" w:ascii="仿宋_GB2312" w:hAnsi="黑体" w:eastAsia="仿宋_GB2312" w:cs="黑体"/>
          <w:bCs/>
          <w:kern w:val="2"/>
          <w:sz w:val="32"/>
          <w:szCs w:val="32"/>
          <w:lang w:val="en-US" w:eastAsia="zh-CN" w:bidi="ar-SA"/>
        </w:rPr>
        <w:t>按照马克思主义理论学科研究生培养方案的要求，本学位点开设了包括学位课、必修课、选修课在内的系列课程，由教学经验丰富的教师承担。为把好教学关，确保研究生课程教学质量，学院定期组织有关教师召开备课会，大家分享经验做法，取长补短，共同提高；校研究生院成立了研究生课程教学质量督导小组，不定期到教师的课堂进行听课，并把意见和建议反馈给教师，以利不断改进。</w:t>
      </w:r>
    </w:p>
    <w:p>
      <w:pPr>
        <w:pStyle w:val="2"/>
        <w:ind w:firstLine="643" w:firstLineChars="200"/>
        <w:rPr>
          <w:rFonts w:hint="eastAsia" w:ascii="仿宋_GB2312" w:hAnsi="黑体" w:eastAsia="仿宋_GB2312" w:cs="黑体"/>
          <w:b/>
          <w:bCs w:val="0"/>
          <w:sz w:val="32"/>
          <w:szCs w:val="32"/>
        </w:rPr>
      </w:pPr>
      <w:r>
        <w:rPr>
          <w:rFonts w:hint="eastAsia" w:ascii="仿宋_GB2312" w:hAnsi="黑体" w:eastAsia="仿宋_GB2312" w:cs="黑体"/>
          <w:b/>
          <w:bCs w:val="0"/>
          <w:sz w:val="32"/>
          <w:szCs w:val="32"/>
          <w:lang w:val="en-US" w:eastAsia="zh-CN"/>
        </w:rPr>
        <w:t>5.</w:t>
      </w:r>
      <w:r>
        <w:rPr>
          <w:rFonts w:hint="eastAsia" w:ascii="仿宋_GB2312" w:hAnsi="黑体" w:eastAsia="仿宋_GB2312" w:cs="黑体"/>
          <w:b/>
          <w:bCs w:val="0"/>
          <w:sz w:val="32"/>
          <w:szCs w:val="32"/>
        </w:rPr>
        <w:t>导师管理</w:t>
      </w:r>
    </w:p>
    <w:p>
      <w:pPr>
        <w:ind w:firstLine="640" w:firstLineChars="200"/>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本学位点在加强导师管理方面，做了大量卓有成效的工作。一是严格贯彻落实导师管理制度。坚持以制度管人，将严格贯彻落实学校有关制度作为规范导师行为的基本举措，如落实《福建农林大学研究生指导教师招生资格认定与管理办法》、《研究生导师指导行为准则》、《关于深化新时代教师队伍建设改革的若干意见》、《福建农林大学教师职业行为负面清单及师德失范行为处理办法》等学校相关制度和文件精神，形成导师选聘、考核、奖惩等长效机制，并制定师德师风建设自查表，把师德师风表现作为评价导师的第一标准，实行师德师风一票否决制。</w:t>
      </w:r>
    </w:p>
    <w:p>
      <w:pPr>
        <w:ind w:firstLine="640" w:firstLineChars="200"/>
        <w:rPr>
          <w:rFonts w:hint="eastAsia"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二是鼓励导师参加学校和学院举办的各种培训。本学位点所有在岗硕士生导师均参加了学校和学院举办各种形式的研究生导师培训，如研究生导师培训会、学习习近平总书记对研究生教育工作重要指示导师专题培训会、“研究和阐释党的十九届五中全会精神”专家辅导会，等等。通过培训，既让导师对学校研究生培养的相关制度和要求有了更进一步的了解，也促进了导师为学、为师、为人等方面素养的提升。</w:t>
      </w:r>
    </w:p>
    <w:p>
      <w:pPr>
        <w:ind w:firstLine="640" w:firstLineChars="200"/>
        <w:rPr>
          <w:rFonts w:hint="default" w:ascii="仿宋_GB2312" w:hAnsi="黑体" w:eastAsia="仿宋_GB2312" w:cs="黑体"/>
          <w:bCs/>
          <w:sz w:val="32"/>
          <w:szCs w:val="32"/>
          <w:lang w:val="en-US" w:eastAsia="zh-CN"/>
        </w:rPr>
      </w:pPr>
      <w:r>
        <w:rPr>
          <w:rFonts w:hint="eastAsia" w:ascii="仿宋_GB2312" w:hAnsi="黑体" w:eastAsia="仿宋_GB2312" w:cs="黑体"/>
          <w:bCs/>
          <w:sz w:val="32"/>
          <w:szCs w:val="32"/>
          <w:lang w:val="en-US" w:eastAsia="zh-CN"/>
        </w:rPr>
        <w:t>三是以学科优势提升导师育人水平。依托学科建设、科研平台、社会实践等不断提升导师的科研育人水平，严格落实导师在研究生思政教育中“第一责任人”作用，导师对研究生的学习、研究、实践等实行全过程指导。同时，导师通过与研究生谈心、共度节日等形式，及时了解研究生心理动态，疏解其心理压力，调查显示，学生对导师关心爱护学生满意度为94.78%。</w:t>
      </w:r>
      <w:bookmarkStart w:id="0" w:name="_GoBack"/>
      <w:bookmarkEnd w:id="0"/>
    </w:p>
    <w:p>
      <w:pPr>
        <w:spacing w:line="360" w:lineRule="auto"/>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（四）质量监控：分流淘汰、学位论文、学风教育、就业发展</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国务院学位委员会颁布的研究生教育质量管理规定、学校研究生培养方案和考核办法为指导，学院制定了《马克思主义理论学科学术学位硕士研究培养方案》，严格落实制度，强化质量管控，加强研究生教育质量监控体系建设。</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1.优化分流淘汰机制。</w:t>
      </w:r>
      <w:r>
        <w:rPr>
          <w:rFonts w:hint="eastAsia" w:ascii="仿宋_GB2312" w:hAnsi="仿宋" w:eastAsia="仿宋_GB2312" w:cs="仿宋"/>
          <w:sz w:val="32"/>
          <w:szCs w:val="32"/>
        </w:rPr>
        <w:t>首先，完善硕士生选拔环节。选择资格考核环节作为突破口，以素质能力为基础的申请和考核相结合的选拔机制，充分利用笔试、面试、心理测试等考核方式对考生进行全方位考核。其次，完善中期淘汰分流退出机制。一般于第三学期举行中期考核，根据中期考核或复审的结论，考核结果为“不合格”的研究生，要终止攻读硕士学位，发给肄业证书。再次，强化淘汰与激励相结合。完善研究生奖学金、助学金政策，设立研究生创新基金项目，根据研究生学术研究成果、创新意识等进行综合考核，设置不同等级的奖学金标准，以激发研究生不断突破科研成果。最后，持续监管保证淘汰分流机制实施。学院网站公开实施分流淘汰的各个环节信息，学院学术委员会参与监管全过程，确保分流淘汰机制落实到位。</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2.严格学位论文管理。</w:t>
      </w:r>
      <w:r>
        <w:rPr>
          <w:rFonts w:hint="eastAsia" w:ascii="仿宋_GB2312" w:hAnsi="仿宋" w:eastAsia="仿宋_GB2312" w:cs="仿宋"/>
          <w:sz w:val="32"/>
          <w:szCs w:val="32"/>
        </w:rPr>
        <w:t>首先，认真落实学院制定的研究生培养方案，监督培养计划执行，严格审核研究生培养各环节是否达到规定要求；其次，加强学位论文质量全过程管理，落实导师是研究生培养第一责任人的要求，严格把关学位论文研究工作、写作发表、学术水平和学术规范性，持续加强学术诚信教育，强化学术伦理和学术规范指导；再次，制订《马克思主义理论一级学科硕士学位授予标准》，明确学位论文规范、评阅规则和核查办法，真实体现研究生的学术能力与学术规范；最后，严格学位论文答辩管理，除依法律法规需要保密外，学位论文均严格实行公开答辩，答辩人员、时间、地点、程序安排及答辩委员会组成等信息均在学院网站公开，接受社会监督。同时，学院还建立了原始记录收集、整理、归档制度，严格规范档案管理，确保涉及学位论文开题、学位论文评阅、答辩、学位授予等重要记录的档案留存全面真实完整。</w:t>
      </w:r>
    </w:p>
    <w:p>
      <w:pPr>
        <w:spacing w:line="360" w:lineRule="auto"/>
        <w:ind w:firstLine="643" w:firstLineChars="200"/>
        <w:rPr>
          <w:rFonts w:ascii="仿宋_GB2312" w:hAnsi="仿宋" w:eastAsia="仿宋_GB2312" w:cs="仿宋"/>
          <w:sz w:val="32"/>
          <w:szCs w:val="32"/>
        </w:rPr>
      </w:pPr>
      <w:r>
        <w:rPr>
          <w:rFonts w:hint="eastAsia" w:ascii="仿宋_GB2312" w:hAnsi="仿宋" w:eastAsia="仿宋_GB2312" w:cs="仿宋"/>
          <w:b/>
          <w:sz w:val="32"/>
          <w:szCs w:val="32"/>
        </w:rPr>
        <w:t>3.强化学风建设教育。</w:t>
      </w:r>
      <w:r>
        <w:rPr>
          <w:rFonts w:hint="eastAsia" w:ascii="仿宋_GB2312" w:hAnsi="仿宋" w:eastAsia="仿宋_GB2312" w:cs="仿宋"/>
          <w:sz w:val="32"/>
          <w:szCs w:val="32"/>
        </w:rPr>
        <w:t>学风建设是提高教育教学质量的前提，是实现高校培育目标的重要条件，营造优良、淳厚的学风是贯彻落实党的教育方针的着力点。学院从实际出发积极开展强化规范、榜样教育、经验交流等各种活动，充分发挥学校获得全国文明校园、全国生态文明教育基地等平台资源，推动环境育人，全面助推学院学风建设新局面。学院加强顶层设计，完善制度规范，全面构建学风建设体系，夯实学风教育基础。一是系统化谋划。学院统筹教育教学各环节、人才培养各方面的育人资源和育人力量，从体制机制上抓学风教育；二是制度化规范。结合学院学科特色和工作实际，制定出台了研究生导师制度等管理制度,为开创学院学风建设新局面提供制度保证；三是项目化打造。开展学风教育专项活动，探索特色品牌项目引领，依托“名师工作室”，开展“读书会”“学术沙龙”“名师论坛”等系列学术文化教育主题活动。此外，重视学生实践教育，注重基层调研与理论宣讲相结合，让学生参与导师科研项目，围绕基层党的思想建设、乡村振兴、福建红色文化等开展深入社会调研，培养学生求实、务实作风。</w:t>
      </w:r>
    </w:p>
    <w:p>
      <w:pPr>
        <w:spacing w:line="360" w:lineRule="auto"/>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4.促进学生就业发展。</w:t>
      </w:r>
      <w:r>
        <w:rPr>
          <w:rFonts w:hint="eastAsia" w:ascii="仿宋_GB2312" w:hAnsi="仿宋" w:eastAsia="仿宋_GB2312" w:cs="仿宋"/>
          <w:sz w:val="32"/>
          <w:szCs w:val="32"/>
        </w:rPr>
        <w:t>解决好学生的就业问题是学科发展的生命线。长期以来，学院以学科建设为抓手，努力培养一批具备能够较好运用马克思主义立场、观点和方法独立分析和解决现实问题的能力，成为能够胜任本学科相关的理论研究、教育教学、宣传和实际工作的专门人才。为了促进学生就业发展，学院将毕业生就业工作作为学科建设和人才培养的重要环节，把毕业生就业状况纳入学科建设评估体系中。按照学校统一部署，学院每年评选出两位“毕业生就业创业工作先进个人”，以此勉励研究生导师和相关教学管理人员为学生就业发展提供指导与服务。在重视学生就业导向下，我院立足学科优势抓就业升学，引导学生树立正确的就业择业观，近年来研究生就业率稳定在 98%左右，为行政事业单位、社会团体和企业输送出一批优秀人才。</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二、工作特色与成效</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体现本学位授权点的特色和人才培养水平，包含制度建设、立德树人、科教融合、产教融合、文化建设、质量保障体系建设等方面的工作举措和成效。</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（一）学位点建设特色及成效</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学科特色：①地域资源独特。丰厚的红色文化资源、海峡两岸资源、为学科提供独特的滋养。②学术平台宽厚。福建省马克思主义中国化研究基地、共青团中央中国特色社会主义研究中心基地、教育部思想政治理论课教师研修基地等，为学科发展提供支撑。③研究视角鲜明。作为农林高校的马克思主义理论学科，我们形成了“新民主主义革命时期党的思想建设史”、“城乡融合发展研究”、“青年思想政治教育研究”等方面特色鲜明。</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（二）人才培养的特色及成效</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学科认真贯彻落实全国高校思想政治工作会议、全国教育大会和全国、全省研究生教育会议精神，落实立德树人根本任务，以学科建设为统领，服务国家和社会对理论创新人才和培育涉农领域高层次理论人才的需要，构建研究生思想政治教育“三全育人”格局，全面提高研究生培养质量。</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（1）引领研究生参与项目研究，提升应用型创新人才培养质量</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科依托“全国高校思想政治理论课骨干教师社会实践研修基地”“共青团中央中国特色社会主义研究中心基地”“大学生乐商提升研究中心”等科研平台；通过设立优硕基金、研究生科研创新基金，引导学生早进课题、早进团队，将科研平台变为人才培养的平台，把“科学研究的密度”转化为“教学创新的浓度”，引导学生广泛参与科研项目，激发学生的学术志趣，培养学生批判性思维和研究精神，提升人才培养质量。</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（2）利用暑期社会实践，引导学生树立服务基层的思想意识</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学科以社会实践培养研究精神和实践能力，推动思政课实践教学与学生社会实践活动、志愿服务活动结合，思政小课堂和社会大课堂结合。出台了《马克思主义学院研究生进行暑期调研的实施方案》等文件。</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（3）借助读书社、思想者沙龙、知识竞赛活动载体，培养和提升研究生实践创新能力</w:t>
      </w:r>
    </w:p>
    <w:p>
      <w:pPr>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科建有福建省高校思想政治理论课教学名师工作室2个，建有福建省高校重点马克思主义理论读书社2个，建有12门人文素质公选课程。学科定期开展马克思主义理论读书、讨论、竞赛活动，以推动研究生理论知识的深化和拓展，厚实学生的理论基础。</w:t>
      </w:r>
    </w:p>
    <w:p>
      <w:pPr>
        <w:numPr>
          <w:ilvl w:val="0"/>
          <w:numId w:val="3"/>
        </w:numPr>
        <w:spacing w:line="700" w:lineRule="exact"/>
        <w:ind w:firstLine="640" w:firstLineChars="200"/>
        <w:rPr>
          <w:rFonts w:hint="eastAsia" w:ascii="仿宋_GB2312" w:hAnsi="黑体" w:eastAsia="仿宋_GB2312" w:cs="黑体"/>
          <w:bCs/>
          <w:sz w:val="32"/>
          <w:szCs w:val="32"/>
        </w:rPr>
      </w:pPr>
      <w:r>
        <w:rPr>
          <w:rFonts w:hint="eastAsia" w:ascii="仿宋_GB2312" w:hAnsi="黑体" w:eastAsia="仿宋_GB2312" w:cs="黑体"/>
          <w:bCs/>
          <w:sz w:val="32"/>
          <w:szCs w:val="32"/>
        </w:rPr>
        <w:t>学位点建设存在的问题</w:t>
      </w:r>
    </w:p>
    <w:p>
      <w:pPr>
        <w:numPr>
          <w:ilvl w:val="0"/>
          <w:numId w:val="0"/>
        </w:numPr>
        <w:spacing w:line="700" w:lineRule="exact"/>
        <w:ind w:firstLine="600" w:firstLineChars="200"/>
        <w:rPr>
          <w:rFonts w:hint="eastAsia" w:ascii="黑体" w:hAnsi="黑体" w:eastAsia="黑体" w:cs="Arial"/>
          <w:b/>
          <w:bCs/>
          <w:sz w:val="32"/>
          <w:szCs w:val="32"/>
        </w:rPr>
      </w:pPr>
      <w:r>
        <w:rPr>
          <w:rFonts w:hint="eastAsia" w:ascii="仿宋" w:hAnsi="仿宋" w:eastAsia="仿宋" w:cs="宋体"/>
          <w:bCs/>
          <w:kern w:val="0"/>
          <w:sz w:val="30"/>
          <w:szCs w:val="30"/>
        </w:rPr>
        <w:t>（1）教师队伍内涵式发展不足，职称晋升学历提升压力大；学位点的发展潜力和后备力量还有待于进一步充实提升。（2）面对马克思主义理论学科建设蓬勃发展的背景和趋势，全国高校对马学科高层次人才的需求持续高位运行，我校作为省属农林类院校且未设置马克思主义理论一级博士点，在领军人才和优秀博士的引进和培育方面存在劣势和短板。</w:t>
      </w:r>
    </w:p>
    <w:p>
      <w:pPr>
        <w:numPr>
          <w:ilvl w:val="0"/>
          <w:numId w:val="3"/>
        </w:numPr>
        <w:spacing w:line="700" w:lineRule="exact"/>
        <w:ind w:left="0" w:leftChars="0" w:firstLine="640" w:firstLineChars="200"/>
        <w:rPr>
          <w:rFonts w:hint="eastAsia" w:ascii="仿宋_GB2312" w:hAnsi="黑体" w:eastAsia="仿宋_GB2312" w:cs="黑体"/>
          <w:bCs/>
          <w:sz w:val="32"/>
          <w:szCs w:val="32"/>
        </w:rPr>
      </w:pPr>
      <w:r>
        <w:rPr>
          <w:rFonts w:hint="eastAsia" w:ascii="仿宋_GB2312" w:hAnsi="黑体" w:eastAsia="仿宋_GB2312" w:cs="黑体"/>
          <w:bCs/>
          <w:sz w:val="32"/>
          <w:szCs w:val="32"/>
        </w:rPr>
        <w:t>下一年度建设计划</w:t>
      </w:r>
    </w:p>
    <w:p>
      <w:pPr>
        <w:numPr>
          <w:ilvl w:val="0"/>
          <w:numId w:val="0"/>
        </w:numPr>
        <w:spacing w:line="700" w:lineRule="exact"/>
        <w:ind w:leftChars="200" w:firstLine="600" w:firstLineChars="200"/>
        <w:rPr>
          <w:rFonts w:hint="eastAsia" w:ascii="仿宋" w:hAnsi="仿宋" w:eastAsia="仿宋" w:cs="Arial"/>
          <w:sz w:val="30"/>
          <w:szCs w:val="30"/>
          <w:lang w:val="en-US" w:eastAsia="zh-CN"/>
        </w:rPr>
      </w:pPr>
      <w:r>
        <w:rPr>
          <w:rFonts w:hint="eastAsia" w:ascii="仿宋" w:hAnsi="仿宋" w:eastAsia="仿宋" w:cs="Arial"/>
          <w:sz w:val="30"/>
          <w:szCs w:val="30"/>
          <w:lang w:val="en-US" w:eastAsia="zh-CN"/>
        </w:rPr>
        <w:t xml:space="preserve">1.提升科学研究水平，取得研究成果新突破。围绕学院内涵式发展，不断优化科研运行和管理机制，健全科研考核评价、奖励制度，进一步明确科研考核评价奖励的指标和标准，实施高水平论文等科研成果特别奖励制度，充分调动广大教师参与科学研究的积极性，引导形成良好的学术氛围，促进科研可持续发展，取得新的成果和突破。（1）加强重大项目和成果培育，精心组织与策划国家社科基金重大项目培育和辅导工作，持续开展院级培育项目资助，大力支持教师申报高层次项目、奖项，发表高水平论文，出版高水平专著、教材的力度，争取获得高显示度的科研成果。（2）明确学科发展方向，凸显学科发展特色，聚焦党的建设、红色文化、生态文明、乡村振兴、助力学院特色发展和内涵发展，不断提高学院学科建设水平和学术影响力。（3）加强学科融合和科研团队建设，持续实施教师教学科研能力提升计划，持续推动传帮带指导制，构建结构合理的教学科研团队；鼓励和支持教师参加国内知名高校进修访学和在职攻读博士学位提升学历。    </w:t>
      </w:r>
    </w:p>
    <w:p>
      <w:pPr>
        <w:numPr>
          <w:ilvl w:val="0"/>
          <w:numId w:val="0"/>
        </w:numPr>
        <w:spacing w:line="700" w:lineRule="exact"/>
        <w:ind w:leftChars="200" w:firstLine="600" w:firstLineChars="200"/>
        <w:rPr>
          <w:rFonts w:hint="default" w:ascii="仿宋" w:hAnsi="仿宋" w:eastAsia="仿宋" w:cs="Arial"/>
          <w:sz w:val="30"/>
          <w:szCs w:val="30"/>
          <w:lang w:val="en-US" w:eastAsia="zh-CN"/>
        </w:rPr>
      </w:pPr>
      <w:r>
        <w:rPr>
          <w:rFonts w:hint="eastAsia" w:ascii="仿宋" w:hAnsi="仿宋" w:eastAsia="仿宋" w:cs="Arial"/>
          <w:sz w:val="30"/>
          <w:szCs w:val="30"/>
          <w:lang w:val="en-US" w:eastAsia="zh-CN"/>
        </w:rPr>
        <w:t>2.发挥学科和专业优势，积极提供社会服务。立足新时代中国特色社会主义鲜活实践，找准切入点、聚焦点、结合点，开展马克思主义学理阐释、理论宣传和咨政服务工作。鼓励和支持教师在主流媒体上刊发有说服力的理论文章，向社会传递正能量；积极组织教师围绕重大现实问题、重大理论问题和重大实践经验总结开展调研，提交相应调研报告；鼓励教师开展新时代新思想的宣讲活动，推动新思想在“进教材、进课堂、进学生头脑”的同时也要“进网络、进社区”；加强与地方政府、事业单位和企业的密切合作，搭建服务地方的平台，不断提升学院影响力和美誉度。</w:t>
      </w:r>
    </w:p>
    <w:p>
      <w:pPr>
        <w:numPr>
          <w:ilvl w:val="0"/>
          <w:numId w:val="0"/>
        </w:numPr>
        <w:spacing w:line="700" w:lineRule="exact"/>
        <w:ind w:leftChars="200" w:firstLine="600" w:firstLineChars="200"/>
        <w:rPr>
          <w:rFonts w:hint="eastAsia" w:ascii="仿宋" w:hAnsi="仿宋" w:eastAsia="仿宋" w:cs="Arial"/>
          <w:sz w:val="30"/>
          <w:szCs w:val="30"/>
        </w:rPr>
      </w:pPr>
    </w:p>
    <w:p>
      <w:pPr>
        <w:numPr>
          <w:ilvl w:val="0"/>
          <w:numId w:val="0"/>
        </w:numPr>
        <w:spacing w:line="700" w:lineRule="exact"/>
        <w:ind w:leftChars="200" w:firstLine="600" w:firstLineChars="200"/>
        <w:rPr>
          <w:rFonts w:hint="eastAsia" w:ascii="仿宋" w:hAnsi="仿宋" w:eastAsia="仿宋" w:cs="Arial"/>
          <w:sz w:val="30"/>
          <w:szCs w:val="30"/>
        </w:rPr>
      </w:pPr>
    </w:p>
    <w:p>
      <w:pPr>
        <w:widowControl/>
        <w:adjustRightInd w:val="0"/>
        <w:snapToGrid w:val="0"/>
        <w:ind w:left="560"/>
        <w:rPr>
          <w:rFonts w:ascii="Times New Roman" w:hAnsi="Times New Roman" w:eastAsia="方正仿宋简体"/>
          <w:color w:val="000000"/>
          <w:kern w:val="0"/>
          <w:sz w:val="28"/>
          <w:szCs w:val="28"/>
        </w:rPr>
      </w:pPr>
    </w:p>
    <w:p>
      <w:pPr>
        <w:widowControl/>
        <w:adjustRightInd w:val="0"/>
        <w:snapToGrid w:val="0"/>
        <w:ind w:left="560"/>
        <w:rPr>
          <w:rFonts w:ascii="Times New Roman" w:hAnsi="Times New Roman" w:eastAsia="方正仿宋简体"/>
          <w:color w:val="000000"/>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22252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10987"/>
    <w:multiLevelType w:val="singleLevel"/>
    <w:tmpl w:val="B8D10987"/>
    <w:lvl w:ilvl="0" w:tentative="0">
      <w:start w:val="3"/>
      <w:numFmt w:val="chineseCounting"/>
      <w:suff w:val="nothing"/>
      <w:lvlText w:val="%1、"/>
      <w:lvlJc w:val="left"/>
      <w:rPr>
        <w:rFonts w:hint="eastAsia"/>
      </w:rPr>
    </w:lvl>
  </w:abstractNum>
  <w:abstractNum w:abstractNumId="1">
    <w:nsid w:val="C00F2CEC"/>
    <w:multiLevelType w:val="singleLevel"/>
    <w:tmpl w:val="C00F2CEC"/>
    <w:lvl w:ilvl="0" w:tentative="0">
      <w:start w:val="1"/>
      <w:numFmt w:val="chineseCounting"/>
      <w:suff w:val="nothing"/>
      <w:lvlText w:val="（%1）"/>
      <w:lvlJc w:val="left"/>
      <w:rPr>
        <w:rFonts w:hint="eastAsia"/>
      </w:rPr>
    </w:lvl>
  </w:abstractNum>
  <w:abstractNum w:abstractNumId="2">
    <w:nsid w:val="5C0591D9"/>
    <w:multiLevelType w:val="singleLevel"/>
    <w:tmpl w:val="5C0591D9"/>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YjMzYTUxNzExNzdmNDhjYTZhOGIyODc4ZjhhYTcifQ=="/>
  </w:docVars>
  <w:rsids>
    <w:rsidRoot w:val="00F51B09"/>
    <w:rsid w:val="00041B7B"/>
    <w:rsid w:val="000773B0"/>
    <w:rsid w:val="00277E2F"/>
    <w:rsid w:val="002A5EE5"/>
    <w:rsid w:val="00300204"/>
    <w:rsid w:val="004C65B7"/>
    <w:rsid w:val="004F6957"/>
    <w:rsid w:val="00714B53"/>
    <w:rsid w:val="008300E1"/>
    <w:rsid w:val="008E48C2"/>
    <w:rsid w:val="00907F3C"/>
    <w:rsid w:val="00972AA3"/>
    <w:rsid w:val="00AC4F71"/>
    <w:rsid w:val="00BC5E33"/>
    <w:rsid w:val="00BD7985"/>
    <w:rsid w:val="00E419BA"/>
    <w:rsid w:val="00E73905"/>
    <w:rsid w:val="00E834C6"/>
    <w:rsid w:val="00EA1F09"/>
    <w:rsid w:val="00EA4CA9"/>
    <w:rsid w:val="00EB77F4"/>
    <w:rsid w:val="00EC6F0E"/>
    <w:rsid w:val="00F51B09"/>
    <w:rsid w:val="04475273"/>
    <w:rsid w:val="05881AB1"/>
    <w:rsid w:val="0A8D5EA4"/>
    <w:rsid w:val="116818F4"/>
    <w:rsid w:val="16D04116"/>
    <w:rsid w:val="173D2539"/>
    <w:rsid w:val="213A41AD"/>
    <w:rsid w:val="220D71DF"/>
    <w:rsid w:val="26B80CF7"/>
    <w:rsid w:val="271A113C"/>
    <w:rsid w:val="2CFD6AAB"/>
    <w:rsid w:val="40362E84"/>
    <w:rsid w:val="49A45354"/>
    <w:rsid w:val="4B390976"/>
    <w:rsid w:val="4F475B54"/>
    <w:rsid w:val="57DC28DD"/>
    <w:rsid w:val="57E34B1C"/>
    <w:rsid w:val="62D24C3C"/>
    <w:rsid w:val="68742170"/>
    <w:rsid w:val="697E1E97"/>
    <w:rsid w:val="6D2C753D"/>
    <w:rsid w:val="750550C7"/>
    <w:rsid w:val="78A57311"/>
    <w:rsid w:val="79ED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50" w:beforeLines="50" w:after="50" w:afterLines="50" w:line="240" w:lineRule="auto"/>
      <w:outlineLvl w:val="2"/>
    </w:pPr>
    <w:rPr>
      <w:rFonts w:eastAsia="方正仿宋简体"/>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9D32-61F2-45C3-8269-0DDC538F5636}">
  <ds:schemaRefs/>
</ds:datastoreItem>
</file>

<file path=docProps/app.xml><?xml version="1.0" encoding="utf-8"?>
<Properties xmlns="http://schemas.openxmlformats.org/officeDocument/2006/extended-properties" xmlns:vt="http://schemas.openxmlformats.org/officeDocument/2006/docPropsVTypes">
  <Template>Normal</Template>
  <Pages>14</Pages>
  <Words>6976</Words>
  <Characters>7022</Characters>
  <Lines>13</Lines>
  <Paragraphs>3</Paragraphs>
  <TotalTime>23</TotalTime>
  <ScaleCrop>false</ScaleCrop>
  <LinksUpToDate>false</LinksUpToDate>
  <CharactersWithSpaces>7028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HiWin81Up</dc:creator>
  <cp:lastModifiedBy>共我放心探戈</cp:lastModifiedBy>
  <cp:lastPrinted>2021-12-14T06:39:00Z</cp:lastPrinted>
  <dcterms:modified xsi:type="dcterms:W3CDTF">2022-09-05T02:20:17Z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5247071888AB45F190409BC38C29F3BF</vt:lpwstr>
  </property>
</Properties>
</file>