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134" w:rsidRDefault="00F66134">
      <w:pPr>
        <w:rPr>
          <w:rFonts w:ascii="黑体" w:eastAsia="黑体" w:hAnsi="黑体" w:cs="黑体"/>
          <w:sz w:val="48"/>
          <w:szCs w:val="56"/>
        </w:rPr>
      </w:pPr>
    </w:p>
    <w:p w:rsidR="00F66134" w:rsidRDefault="00F66134">
      <w:pPr>
        <w:rPr>
          <w:rFonts w:ascii="黑体" w:eastAsia="黑体" w:hAnsi="黑体" w:cs="黑体"/>
          <w:sz w:val="48"/>
          <w:szCs w:val="56"/>
        </w:rPr>
      </w:pPr>
    </w:p>
    <w:p w:rsidR="00F66134" w:rsidRDefault="00F66134">
      <w:pPr>
        <w:rPr>
          <w:rFonts w:ascii="黑体" w:eastAsia="黑体" w:hAnsi="黑体" w:cs="黑体"/>
          <w:sz w:val="48"/>
          <w:szCs w:val="56"/>
        </w:rPr>
      </w:pPr>
    </w:p>
    <w:p w:rsidR="00F66134" w:rsidRDefault="002E7B0E">
      <w:pPr>
        <w:jc w:val="center"/>
        <w:rPr>
          <w:rFonts w:ascii="黑体" w:eastAsia="黑体" w:hAnsi="黑体" w:cs="黑体"/>
          <w:b/>
          <w:bCs/>
          <w:sz w:val="52"/>
          <w:szCs w:val="72"/>
        </w:rPr>
      </w:pPr>
      <w:r>
        <w:rPr>
          <w:rFonts w:ascii="黑体" w:eastAsia="黑体" w:hAnsi="黑体" w:cs="黑体" w:hint="eastAsia"/>
          <w:b/>
          <w:bCs/>
          <w:sz w:val="52"/>
          <w:szCs w:val="72"/>
        </w:rPr>
        <w:t>学位授权点建设年度报告</w:t>
      </w:r>
    </w:p>
    <w:p w:rsidR="00F66134" w:rsidRDefault="002E7B0E">
      <w:pPr>
        <w:jc w:val="center"/>
        <w:rPr>
          <w:rFonts w:ascii="楷体" w:eastAsia="楷体" w:hAnsi="楷体" w:cs="楷体"/>
          <w:sz w:val="28"/>
          <w:szCs w:val="36"/>
        </w:rPr>
      </w:pPr>
      <w:r>
        <w:rPr>
          <w:rFonts w:ascii="楷体" w:eastAsia="楷体" w:hAnsi="楷体" w:cs="楷体" w:hint="eastAsia"/>
          <w:sz w:val="28"/>
          <w:szCs w:val="36"/>
        </w:rPr>
        <w:t>（2021年）</w:t>
      </w:r>
    </w:p>
    <w:p w:rsidR="00F66134" w:rsidRDefault="00F66134"/>
    <w:p w:rsidR="00F66134" w:rsidRDefault="00F66134"/>
    <w:p w:rsidR="00F66134" w:rsidRDefault="00F66134"/>
    <w:p w:rsidR="00F66134" w:rsidRDefault="00F66134"/>
    <w:p w:rsidR="00F66134" w:rsidRDefault="00F66134"/>
    <w:tbl>
      <w:tblPr>
        <w:tblW w:w="0" w:type="auto"/>
        <w:tblBorders>
          <w:insideH w:val="single" w:sz="4" w:space="0" w:color="auto"/>
          <w:insideV w:val="single" w:sz="4" w:space="0" w:color="auto"/>
        </w:tblBorders>
        <w:tblLook w:val="04A0" w:firstRow="1" w:lastRow="0" w:firstColumn="1" w:lastColumn="0" w:noHBand="0" w:noVBand="1"/>
      </w:tblPr>
      <w:tblGrid>
        <w:gridCol w:w="4261"/>
        <w:gridCol w:w="2867"/>
      </w:tblGrid>
      <w:tr w:rsidR="00F66134">
        <w:tc>
          <w:tcPr>
            <w:tcW w:w="4261" w:type="dxa"/>
            <w:vMerge w:val="restart"/>
            <w:shd w:val="clear" w:color="auto" w:fill="auto"/>
            <w:vAlign w:val="center"/>
          </w:tcPr>
          <w:p w:rsidR="00F66134" w:rsidRDefault="002E7B0E">
            <w:pPr>
              <w:jc w:val="center"/>
              <w:rPr>
                <w:rFonts w:ascii="楷体" w:eastAsia="楷体" w:hAnsi="楷体" w:cs="楷体"/>
                <w:sz w:val="28"/>
                <w:szCs w:val="36"/>
              </w:rPr>
            </w:pPr>
            <w:r>
              <w:rPr>
                <w:rFonts w:ascii="楷体" w:eastAsia="楷体" w:hAnsi="楷体" w:cs="楷体" w:hint="eastAsia"/>
                <w:sz w:val="28"/>
                <w:szCs w:val="36"/>
              </w:rPr>
              <w:t xml:space="preserve">               学位授予单位</w:t>
            </w:r>
          </w:p>
        </w:tc>
        <w:tc>
          <w:tcPr>
            <w:tcW w:w="2867" w:type="dxa"/>
            <w:shd w:val="clear" w:color="auto" w:fill="auto"/>
          </w:tcPr>
          <w:p w:rsidR="00F66134" w:rsidRDefault="002E7B0E">
            <w:pPr>
              <w:rPr>
                <w:rFonts w:ascii="楷体" w:eastAsia="楷体" w:hAnsi="楷体" w:cs="楷体"/>
                <w:sz w:val="28"/>
                <w:szCs w:val="36"/>
              </w:rPr>
            </w:pPr>
            <w:r>
              <w:rPr>
                <w:rFonts w:ascii="楷体" w:eastAsia="楷体" w:hAnsi="楷体" w:cs="楷体" w:hint="eastAsia"/>
                <w:sz w:val="28"/>
                <w:szCs w:val="36"/>
              </w:rPr>
              <w:t>名称  福建农林大学</w:t>
            </w:r>
          </w:p>
        </w:tc>
      </w:tr>
      <w:tr w:rsidR="00F66134">
        <w:tc>
          <w:tcPr>
            <w:tcW w:w="4261" w:type="dxa"/>
            <w:vMerge/>
            <w:shd w:val="clear" w:color="auto" w:fill="auto"/>
          </w:tcPr>
          <w:p w:rsidR="00F66134" w:rsidRDefault="00F66134">
            <w:pPr>
              <w:rPr>
                <w:rFonts w:ascii="楷体" w:eastAsia="楷体" w:hAnsi="楷体" w:cs="楷体"/>
                <w:sz w:val="28"/>
                <w:szCs w:val="36"/>
              </w:rPr>
            </w:pPr>
          </w:p>
        </w:tc>
        <w:tc>
          <w:tcPr>
            <w:tcW w:w="2867" w:type="dxa"/>
            <w:shd w:val="clear" w:color="auto" w:fill="auto"/>
          </w:tcPr>
          <w:p w:rsidR="00F66134" w:rsidRDefault="002E7B0E">
            <w:pPr>
              <w:rPr>
                <w:rFonts w:ascii="楷体" w:eastAsia="楷体" w:hAnsi="楷体" w:cs="楷体"/>
                <w:sz w:val="28"/>
                <w:szCs w:val="36"/>
              </w:rPr>
            </w:pPr>
            <w:r>
              <w:rPr>
                <w:rFonts w:ascii="楷体" w:eastAsia="楷体" w:hAnsi="楷体" w:cs="楷体" w:hint="eastAsia"/>
                <w:sz w:val="28"/>
                <w:szCs w:val="36"/>
              </w:rPr>
              <w:t>代码  10389</w:t>
            </w:r>
          </w:p>
        </w:tc>
      </w:tr>
    </w:tbl>
    <w:p w:rsidR="00F66134" w:rsidRDefault="00F66134">
      <w:pPr>
        <w:rPr>
          <w:rFonts w:ascii="楷体" w:eastAsia="楷体" w:hAnsi="楷体" w:cs="楷体"/>
          <w:sz w:val="28"/>
          <w:szCs w:val="36"/>
        </w:rPr>
      </w:pPr>
    </w:p>
    <w:tbl>
      <w:tblPr>
        <w:tblW w:w="0" w:type="auto"/>
        <w:tblBorders>
          <w:insideH w:val="single" w:sz="4" w:space="0" w:color="auto"/>
          <w:insideV w:val="single" w:sz="4" w:space="0" w:color="auto"/>
        </w:tblBorders>
        <w:tblLook w:val="04A0" w:firstRow="1" w:lastRow="0" w:firstColumn="1" w:lastColumn="0" w:noHBand="0" w:noVBand="1"/>
      </w:tblPr>
      <w:tblGrid>
        <w:gridCol w:w="4261"/>
        <w:gridCol w:w="2332"/>
      </w:tblGrid>
      <w:tr w:rsidR="00F66134">
        <w:tc>
          <w:tcPr>
            <w:tcW w:w="4261" w:type="dxa"/>
            <w:vMerge w:val="restart"/>
            <w:shd w:val="clear" w:color="auto" w:fill="auto"/>
            <w:vAlign w:val="center"/>
          </w:tcPr>
          <w:p w:rsidR="00F66134" w:rsidRDefault="002E7B0E">
            <w:pPr>
              <w:jc w:val="center"/>
              <w:rPr>
                <w:rFonts w:ascii="楷体" w:eastAsia="楷体" w:hAnsi="楷体" w:cs="楷体"/>
                <w:sz w:val="28"/>
                <w:szCs w:val="36"/>
              </w:rPr>
            </w:pPr>
            <w:r>
              <w:rPr>
                <w:rFonts w:ascii="楷体" w:eastAsia="楷体" w:hAnsi="楷体" w:cs="楷体" w:hint="eastAsia"/>
                <w:sz w:val="28"/>
                <w:szCs w:val="36"/>
              </w:rPr>
              <w:t xml:space="preserve">               授权学科</w:t>
            </w:r>
          </w:p>
          <w:p w:rsidR="00F66134" w:rsidRDefault="002E7B0E">
            <w:pPr>
              <w:jc w:val="center"/>
              <w:rPr>
                <w:rFonts w:ascii="楷体" w:eastAsia="楷体" w:hAnsi="楷体" w:cs="楷体"/>
                <w:sz w:val="28"/>
                <w:szCs w:val="36"/>
              </w:rPr>
            </w:pPr>
            <w:r>
              <w:rPr>
                <w:rFonts w:ascii="楷体" w:eastAsia="楷体" w:hAnsi="楷体" w:cs="楷体" w:hint="eastAsia"/>
                <w:sz w:val="28"/>
                <w:szCs w:val="36"/>
              </w:rPr>
              <w:t xml:space="preserve">               （类别）</w:t>
            </w:r>
          </w:p>
        </w:tc>
        <w:tc>
          <w:tcPr>
            <w:tcW w:w="2332" w:type="dxa"/>
            <w:shd w:val="clear" w:color="auto" w:fill="auto"/>
          </w:tcPr>
          <w:p w:rsidR="00F66134" w:rsidRDefault="002E7B0E">
            <w:pPr>
              <w:rPr>
                <w:rFonts w:ascii="楷体" w:eastAsia="楷体" w:hAnsi="楷体" w:cs="楷体"/>
                <w:sz w:val="28"/>
                <w:szCs w:val="36"/>
              </w:rPr>
            </w:pPr>
            <w:r>
              <w:rPr>
                <w:rFonts w:ascii="楷体" w:eastAsia="楷体" w:hAnsi="楷体" w:cs="楷体" w:hint="eastAsia"/>
                <w:sz w:val="28"/>
                <w:szCs w:val="36"/>
              </w:rPr>
              <w:t>名称 植物保护</w:t>
            </w:r>
          </w:p>
        </w:tc>
      </w:tr>
      <w:tr w:rsidR="00F66134">
        <w:tc>
          <w:tcPr>
            <w:tcW w:w="4261" w:type="dxa"/>
            <w:vMerge/>
            <w:shd w:val="clear" w:color="auto" w:fill="auto"/>
          </w:tcPr>
          <w:p w:rsidR="00F66134" w:rsidRDefault="00F66134">
            <w:pPr>
              <w:rPr>
                <w:rFonts w:ascii="楷体" w:eastAsia="楷体" w:hAnsi="楷体" w:cs="楷体"/>
                <w:sz w:val="28"/>
                <w:szCs w:val="36"/>
              </w:rPr>
            </w:pPr>
          </w:p>
        </w:tc>
        <w:tc>
          <w:tcPr>
            <w:tcW w:w="2332" w:type="dxa"/>
            <w:shd w:val="clear" w:color="auto" w:fill="auto"/>
          </w:tcPr>
          <w:p w:rsidR="00F66134" w:rsidRDefault="002E7B0E">
            <w:pPr>
              <w:rPr>
                <w:rFonts w:ascii="楷体" w:eastAsia="楷体" w:hAnsi="楷体" w:cs="楷体"/>
                <w:sz w:val="28"/>
                <w:szCs w:val="36"/>
              </w:rPr>
            </w:pPr>
            <w:r>
              <w:rPr>
                <w:rFonts w:ascii="楷体" w:eastAsia="楷体" w:hAnsi="楷体" w:cs="楷体" w:hint="eastAsia"/>
                <w:sz w:val="28"/>
                <w:szCs w:val="36"/>
              </w:rPr>
              <w:t xml:space="preserve">代码 </w:t>
            </w:r>
            <w:r>
              <w:rPr>
                <w:rFonts w:ascii="楷体" w:eastAsia="楷体" w:hAnsi="楷体" w:cs="楷体"/>
                <w:sz w:val="28"/>
                <w:szCs w:val="36"/>
              </w:rPr>
              <w:t>0904</w:t>
            </w:r>
          </w:p>
        </w:tc>
      </w:tr>
    </w:tbl>
    <w:p w:rsidR="00F66134" w:rsidRDefault="00F66134">
      <w:pPr>
        <w:rPr>
          <w:rFonts w:ascii="楷体" w:eastAsia="楷体" w:hAnsi="楷体" w:cs="楷体"/>
          <w:sz w:val="28"/>
          <w:szCs w:val="36"/>
        </w:rPr>
      </w:pPr>
    </w:p>
    <w:tbl>
      <w:tblPr>
        <w:tblW w:w="0" w:type="auto"/>
        <w:tblBorders>
          <w:insideH w:val="single" w:sz="4" w:space="0" w:color="auto"/>
          <w:insideV w:val="single" w:sz="4" w:space="0" w:color="auto"/>
        </w:tblBorders>
        <w:tblLook w:val="04A0" w:firstRow="1" w:lastRow="0" w:firstColumn="1" w:lastColumn="0" w:noHBand="0" w:noVBand="1"/>
      </w:tblPr>
      <w:tblGrid>
        <w:gridCol w:w="4261"/>
        <w:gridCol w:w="2347"/>
      </w:tblGrid>
      <w:tr w:rsidR="00F66134">
        <w:tc>
          <w:tcPr>
            <w:tcW w:w="4261" w:type="dxa"/>
            <w:vMerge w:val="restart"/>
            <w:shd w:val="clear" w:color="auto" w:fill="auto"/>
            <w:vAlign w:val="center"/>
          </w:tcPr>
          <w:p w:rsidR="00F66134" w:rsidRDefault="002E7B0E">
            <w:pPr>
              <w:jc w:val="center"/>
              <w:rPr>
                <w:rFonts w:ascii="楷体" w:eastAsia="楷体" w:hAnsi="楷体" w:cs="楷体"/>
                <w:sz w:val="28"/>
                <w:szCs w:val="36"/>
              </w:rPr>
            </w:pPr>
            <w:r>
              <w:rPr>
                <w:rFonts w:ascii="楷体" w:eastAsia="楷体" w:hAnsi="楷体" w:cs="楷体" w:hint="eastAsia"/>
                <w:sz w:val="28"/>
                <w:szCs w:val="36"/>
              </w:rPr>
              <w:t xml:space="preserve">               授权级别</w:t>
            </w:r>
          </w:p>
        </w:tc>
        <w:tc>
          <w:tcPr>
            <w:tcW w:w="2347" w:type="dxa"/>
            <w:shd w:val="clear" w:color="auto" w:fill="auto"/>
          </w:tcPr>
          <w:p w:rsidR="00F66134" w:rsidRDefault="002E7B0E">
            <w:pPr>
              <w:rPr>
                <w:rFonts w:ascii="楷体" w:eastAsia="楷体" w:hAnsi="楷体" w:cs="楷体"/>
                <w:sz w:val="28"/>
                <w:szCs w:val="36"/>
              </w:rPr>
            </w:pPr>
            <w:r>
              <w:rPr>
                <w:rFonts w:ascii="楷体" w:eastAsia="楷体" w:hAnsi="楷体" w:cs="楷体" w:hint="eastAsia"/>
                <w:sz w:val="28"/>
                <w:szCs w:val="36"/>
              </w:rPr>
              <w:sym w:font="Wingdings 2" w:char="0052"/>
            </w:r>
            <w:r>
              <w:rPr>
                <w:rFonts w:ascii="楷体" w:eastAsia="楷体" w:hAnsi="楷体" w:cs="楷体" w:hint="eastAsia"/>
                <w:sz w:val="28"/>
                <w:szCs w:val="36"/>
              </w:rPr>
              <w:t xml:space="preserve"> 博士</w:t>
            </w:r>
          </w:p>
        </w:tc>
      </w:tr>
      <w:tr w:rsidR="00F66134">
        <w:tc>
          <w:tcPr>
            <w:tcW w:w="4261" w:type="dxa"/>
            <w:vMerge/>
            <w:shd w:val="clear" w:color="auto" w:fill="auto"/>
          </w:tcPr>
          <w:p w:rsidR="00F66134" w:rsidRDefault="00F66134">
            <w:pPr>
              <w:rPr>
                <w:rFonts w:ascii="楷体" w:eastAsia="楷体" w:hAnsi="楷体" w:cs="楷体"/>
                <w:sz w:val="28"/>
                <w:szCs w:val="36"/>
              </w:rPr>
            </w:pPr>
          </w:p>
        </w:tc>
        <w:tc>
          <w:tcPr>
            <w:tcW w:w="2347" w:type="dxa"/>
            <w:shd w:val="clear" w:color="auto" w:fill="auto"/>
          </w:tcPr>
          <w:p w:rsidR="00F66134" w:rsidRDefault="002E7B0E">
            <w:pPr>
              <w:rPr>
                <w:rFonts w:ascii="楷体" w:eastAsia="楷体" w:hAnsi="楷体" w:cs="楷体"/>
                <w:sz w:val="28"/>
                <w:szCs w:val="36"/>
              </w:rPr>
            </w:pPr>
            <w:r>
              <w:rPr>
                <w:rFonts w:ascii="楷体" w:eastAsia="楷体" w:hAnsi="楷体" w:cs="楷体" w:hint="eastAsia"/>
                <w:sz w:val="28"/>
                <w:szCs w:val="36"/>
              </w:rPr>
              <w:t>□ 硕士</w:t>
            </w:r>
          </w:p>
        </w:tc>
      </w:tr>
    </w:tbl>
    <w:p w:rsidR="00F66134" w:rsidRDefault="00F66134">
      <w:pPr>
        <w:rPr>
          <w:rFonts w:ascii="楷体" w:eastAsia="楷体" w:hAnsi="楷体" w:cs="楷体"/>
          <w:sz w:val="28"/>
          <w:szCs w:val="36"/>
        </w:rPr>
      </w:pPr>
    </w:p>
    <w:p w:rsidR="00F66134" w:rsidRDefault="00F66134">
      <w:pPr>
        <w:jc w:val="center"/>
        <w:rPr>
          <w:rFonts w:ascii="楷体" w:eastAsia="楷体" w:hAnsi="楷体" w:cs="楷体"/>
          <w:sz w:val="36"/>
          <w:szCs w:val="44"/>
        </w:rPr>
      </w:pPr>
    </w:p>
    <w:p w:rsidR="00F66134" w:rsidRDefault="002E7B0E">
      <w:pPr>
        <w:jc w:val="center"/>
        <w:rPr>
          <w:rFonts w:ascii="楷体" w:eastAsia="楷体" w:hAnsi="楷体" w:cs="楷体"/>
          <w:sz w:val="28"/>
          <w:szCs w:val="36"/>
        </w:rPr>
      </w:pPr>
      <w:r>
        <w:rPr>
          <w:rFonts w:ascii="楷体" w:eastAsia="楷体" w:hAnsi="楷体" w:cs="楷体" w:hint="eastAsia"/>
          <w:sz w:val="28"/>
          <w:szCs w:val="36"/>
        </w:rPr>
        <w:t>2022年3月</w:t>
      </w:r>
      <w:r>
        <w:rPr>
          <w:rFonts w:ascii="楷体" w:eastAsia="楷体" w:hAnsi="楷体" w:cs="楷体"/>
          <w:sz w:val="28"/>
          <w:szCs w:val="36"/>
        </w:rPr>
        <w:t>11</w:t>
      </w:r>
      <w:r>
        <w:rPr>
          <w:rFonts w:ascii="楷体" w:eastAsia="楷体" w:hAnsi="楷体" w:cs="楷体" w:hint="eastAsia"/>
          <w:sz w:val="28"/>
          <w:szCs w:val="36"/>
        </w:rPr>
        <w:t>日</w:t>
      </w:r>
    </w:p>
    <w:p w:rsidR="00F66134" w:rsidRDefault="00F66134"/>
    <w:p w:rsidR="00F66134" w:rsidRDefault="00F66134"/>
    <w:p w:rsidR="00F66134" w:rsidRDefault="00F66134"/>
    <w:p w:rsidR="00F66134" w:rsidRDefault="002E7B0E">
      <w:pPr>
        <w:widowControl/>
        <w:jc w:val="left"/>
      </w:pPr>
      <w:r>
        <w:br w:type="page"/>
      </w:r>
    </w:p>
    <w:p w:rsidR="00F66134" w:rsidRPr="00217C23" w:rsidRDefault="002E7B0E">
      <w:pPr>
        <w:rPr>
          <w:rFonts w:ascii="仿宋_GB2312" w:eastAsia="仿宋_GB2312" w:hAnsi="宋体"/>
          <w:sz w:val="32"/>
          <w:szCs w:val="32"/>
        </w:rPr>
      </w:pPr>
      <w:r w:rsidRPr="00217C23">
        <w:rPr>
          <w:rFonts w:ascii="仿宋_GB2312" w:eastAsia="仿宋_GB2312" w:hAnsi="宋体" w:hint="eastAsia"/>
          <w:sz w:val="32"/>
          <w:szCs w:val="32"/>
        </w:rPr>
        <w:lastRenderedPageBreak/>
        <w:t>一、学位授权点基本情况</w:t>
      </w:r>
    </w:p>
    <w:p w:rsidR="00F66134" w:rsidRPr="00217C23" w:rsidRDefault="002E7B0E">
      <w:pPr>
        <w:autoSpaceDE w:val="0"/>
        <w:autoSpaceDN w:val="0"/>
        <w:spacing w:line="540" w:lineRule="exact"/>
        <w:ind w:firstLineChars="221" w:firstLine="707"/>
        <w:rPr>
          <w:rFonts w:ascii="仿宋_GB2312" w:eastAsia="仿宋_GB2312" w:hAnsi="仿宋"/>
          <w:color w:val="000000"/>
          <w:sz w:val="32"/>
          <w:szCs w:val="32"/>
        </w:rPr>
      </w:pPr>
      <w:r w:rsidRPr="00217C23">
        <w:rPr>
          <w:rFonts w:ascii="仿宋_GB2312" w:eastAsia="仿宋_GB2312" w:hAnsi="仿宋" w:hint="eastAsia"/>
          <w:color w:val="000000"/>
          <w:sz w:val="32"/>
          <w:szCs w:val="32"/>
        </w:rPr>
        <w:t>学位点所在的福建农林大学前身是成立于1936年的福建协和大学农科和成立于1940年的福建省立农学院，现为农业农村部、国家林草局与福建省政府共建高校，福建省一流大学建设高校。学校现有12个一级学科博士学位授权点，27个一级学科硕士学位授权点，研究生7200余人，专任教师1700多人。</w:t>
      </w:r>
    </w:p>
    <w:p w:rsidR="00F66134" w:rsidRPr="00217C23" w:rsidRDefault="002E7B0E">
      <w:pPr>
        <w:autoSpaceDE w:val="0"/>
        <w:autoSpaceDN w:val="0"/>
        <w:spacing w:line="540" w:lineRule="exact"/>
        <w:ind w:firstLineChars="200" w:firstLine="640"/>
        <w:rPr>
          <w:rFonts w:ascii="仿宋_GB2312" w:eastAsia="仿宋_GB2312" w:hAnsi="仿宋"/>
          <w:color w:val="000000"/>
          <w:sz w:val="32"/>
          <w:szCs w:val="32"/>
        </w:rPr>
      </w:pPr>
      <w:r w:rsidRPr="00217C23">
        <w:rPr>
          <w:rFonts w:ascii="仿宋_GB2312" w:eastAsia="仿宋_GB2312" w:hAnsi="仿宋" w:hint="eastAsia"/>
          <w:color w:val="000000"/>
          <w:sz w:val="32"/>
          <w:szCs w:val="32"/>
        </w:rPr>
        <w:t>学位点依托单位植物保护学院始于1940年福建省立农学院植物病虫害系，80年来在国内外学术界享有很高威望的严家显、裘维藩、周明</w:t>
      </w:r>
      <w:r w:rsidRPr="00217C23">
        <w:rPr>
          <w:rFonts w:ascii="宋体" w:hAnsi="宋体" w:cs="宋体" w:hint="eastAsia"/>
          <w:color w:val="000000"/>
          <w:sz w:val="32"/>
          <w:szCs w:val="32"/>
        </w:rPr>
        <w:t>牂</w:t>
      </w:r>
      <w:r w:rsidRPr="00217C23">
        <w:rPr>
          <w:rFonts w:ascii="仿宋_GB2312" w:eastAsia="仿宋_GB2312" w:hAnsi="仿宋_GB2312" w:cs="仿宋_GB2312" w:hint="eastAsia"/>
          <w:color w:val="000000"/>
          <w:sz w:val="32"/>
          <w:szCs w:val="32"/>
        </w:rPr>
        <w:t>、黄农、赵修复和谢联辉等著名专家学者先后在学院任教，为国家农业发展和台湾地区早期农业腾飞培养了一大批植物保护人才，先后荣获“全国先进基层党组织”、“全国教育系统先进集体”、“全国黄大</w:t>
      </w:r>
      <w:r w:rsidRPr="00217C23">
        <w:rPr>
          <w:rFonts w:ascii="仿宋_GB2312" w:eastAsia="仿宋_GB2312" w:hAnsi="仿宋" w:hint="eastAsia"/>
          <w:color w:val="000000"/>
          <w:sz w:val="32"/>
          <w:szCs w:val="32"/>
        </w:rPr>
        <w:t>年式教师团队”等荣誉称号。学院在福建省属高校中率先开展研究生教育，率先取得一级学科博士、硕士学位授予权，率先培养出中国科学院院士，率先设立国家重点学科，率先获得“全国百篇优秀博士论文”，率先在国际顶级权威刊物上发表高水平论文。在全国第四轮学科评估中，植物保护学科进入B+，并列全国第4。</w:t>
      </w:r>
    </w:p>
    <w:p w:rsidR="00F66134" w:rsidRPr="00217C23" w:rsidRDefault="002E7B0E">
      <w:pPr>
        <w:pStyle w:val="20"/>
        <w:numPr>
          <w:ilvl w:val="0"/>
          <w:numId w:val="1"/>
        </w:numPr>
        <w:spacing w:line="540" w:lineRule="exact"/>
        <w:ind w:firstLineChars="0"/>
        <w:rPr>
          <w:rFonts w:ascii="仿宋_GB2312" w:eastAsia="仿宋_GB2312" w:hAnsi="黑体"/>
          <w:bCs/>
          <w:sz w:val="32"/>
          <w:szCs w:val="32"/>
        </w:rPr>
      </w:pPr>
      <w:r w:rsidRPr="00217C23">
        <w:rPr>
          <w:rFonts w:ascii="仿宋_GB2312" w:eastAsia="仿宋_GB2312" w:hAnsi="黑体" w:hint="eastAsia"/>
          <w:bCs/>
          <w:sz w:val="32"/>
          <w:szCs w:val="32"/>
        </w:rPr>
        <w:t>目标与标准</w:t>
      </w:r>
    </w:p>
    <w:p w:rsidR="00F66134" w:rsidRPr="00217C23" w:rsidRDefault="002E7B0E">
      <w:pPr>
        <w:pStyle w:val="1"/>
        <w:spacing w:line="540" w:lineRule="exact"/>
        <w:ind w:left="720" w:firstLineChars="0" w:firstLine="0"/>
        <w:rPr>
          <w:rFonts w:ascii="仿宋_GB2312" w:eastAsia="仿宋_GB2312" w:hAnsi="楷体"/>
          <w:bCs/>
          <w:sz w:val="32"/>
          <w:szCs w:val="32"/>
        </w:rPr>
      </w:pPr>
      <w:r w:rsidRPr="00217C23">
        <w:rPr>
          <w:rFonts w:ascii="仿宋_GB2312" w:eastAsia="仿宋_GB2312" w:hAnsi="楷体" w:hint="eastAsia"/>
          <w:bCs/>
          <w:sz w:val="32"/>
          <w:szCs w:val="32"/>
        </w:rPr>
        <w:t>1.培养目标</w:t>
      </w:r>
    </w:p>
    <w:p w:rsidR="00F66134" w:rsidRPr="00217C23" w:rsidRDefault="002E7B0E">
      <w:pPr>
        <w:autoSpaceDE w:val="0"/>
        <w:autoSpaceDN w:val="0"/>
        <w:spacing w:line="540" w:lineRule="exact"/>
        <w:ind w:firstLineChars="200" w:firstLine="640"/>
        <w:rPr>
          <w:rFonts w:ascii="仿宋_GB2312" w:eastAsia="仿宋_GB2312" w:hAnsi="仿宋"/>
          <w:sz w:val="32"/>
          <w:szCs w:val="32"/>
        </w:rPr>
      </w:pPr>
      <w:r w:rsidRPr="00217C23">
        <w:rPr>
          <w:rFonts w:ascii="仿宋_GB2312" w:eastAsia="仿宋_GB2312" w:hAnsi="仿宋" w:hint="eastAsia"/>
          <w:color w:val="000000"/>
          <w:sz w:val="32"/>
          <w:szCs w:val="32"/>
        </w:rPr>
        <w:t>绿色生态的植物保护是人类健康、食品安全、生态安全、国家生物安全乃至整个人类生存安全不可或缺的一环。本学位点紧扣国家生物安全战略和行业发展需求，抓住绿色植保、可持续植保的行业发展主线，培养德、智、体、美、</w:t>
      </w:r>
      <w:proofErr w:type="gramStart"/>
      <w:r w:rsidRPr="00217C23">
        <w:rPr>
          <w:rFonts w:ascii="仿宋_GB2312" w:eastAsia="仿宋_GB2312" w:hAnsi="仿宋" w:hint="eastAsia"/>
          <w:color w:val="000000"/>
          <w:sz w:val="32"/>
          <w:szCs w:val="32"/>
        </w:rPr>
        <w:t>劳</w:t>
      </w:r>
      <w:proofErr w:type="gramEnd"/>
      <w:r w:rsidRPr="00217C23">
        <w:rPr>
          <w:rFonts w:ascii="仿宋_GB2312" w:eastAsia="仿宋_GB2312" w:hAnsi="仿宋" w:hint="eastAsia"/>
          <w:color w:val="000000"/>
          <w:sz w:val="32"/>
          <w:szCs w:val="32"/>
        </w:rPr>
        <w:t>全面</w:t>
      </w:r>
      <w:r w:rsidRPr="00217C23">
        <w:rPr>
          <w:rFonts w:ascii="仿宋_GB2312" w:eastAsia="仿宋_GB2312" w:hAnsi="仿宋" w:hint="eastAsia"/>
          <w:color w:val="000000"/>
          <w:sz w:val="32"/>
          <w:szCs w:val="32"/>
        </w:rPr>
        <w:lastRenderedPageBreak/>
        <w:t>发展，较好掌握马克思主义基本理论，树立爱国主义和集体主义思想，遵纪守法，品行端正，身心健康，具有求实创新的科学作风和献身科学的精神，具有良好的外语读写能力和听说能力，掌握坚实宽广的植物保护学科基础理论和系统深入的专门知识以及广博的跨学科知识，具备独立解决植物保护相关生产实践中实际问题的能力，能够从事有关学科教学、科研与管理工作，并做出创造性成果的植物保护学科创新型人才。</w:t>
      </w:r>
    </w:p>
    <w:p w:rsidR="00F66134" w:rsidRPr="00217C23" w:rsidRDefault="002E7B0E">
      <w:pPr>
        <w:pStyle w:val="1"/>
        <w:spacing w:line="540" w:lineRule="exact"/>
        <w:ind w:left="720" w:firstLineChars="0" w:firstLine="0"/>
        <w:rPr>
          <w:rFonts w:ascii="仿宋_GB2312" w:eastAsia="仿宋_GB2312" w:hAnsi="楷体"/>
          <w:bCs/>
          <w:sz w:val="32"/>
          <w:szCs w:val="32"/>
        </w:rPr>
      </w:pPr>
      <w:r w:rsidRPr="00217C23">
        <w:rPr>
          <w:rFonts w:ascii="仿宋_GB2312" w:eastAsia="仿宋_GB2312" w:hAnsi="楷体" w:hint="eastAsia"/>
          <w:bCs/>
          <w:sz w:val="32"/>
          <w:szCs w:val="32"/>
        </w:rPr>
        <w:t>2.学位标准</w:t>
      </w:r>
    </w:p>
    <w:p w:rsidR="00F66134" w:rsidRPr="00217C23" w:rsidRDefault="002E7B0E">
      <w:pPr>
        <w:autoSpaceDE w:val="0"/>
        <w:autoSpaceDN w:val="0"/>
        <w:spacing w:line="540" w:lineRule="exact"/>
        <w:ind w:firstLineChars="202" w:firstLine="646"/>
        <w:rPr>
          <w:rFonts w:ascii="仿宋_GB2312" w:eastAsia="仿宋_GB2312" w:hAnsi="仿宋"/>
          <w:sz w:val="32"/>
          <w:szCs w:val="32"/>
        </w:rPr>
      </w:pPr>
      <w:r w:rsidRPr="00217C23">
        <w:rPr>
          <w:rFonts w:ascii="仿宋_GB2312" w:eastAsia="仿宋_GB2312" w:hAnsi="仿宋" w:hint="eastAsia"/>
          <w:color w:val="000000"/>
          <w:sz w:val="32"/>
          <w:szCs w:val="32"/>
        </w:rPr>
        <w:t>2020年教育部印发的《关于加快新时代研究生教育改革发展的意见》开启了学位点新时代研究生教育的新篇章，学校和学院及时研究、修改和调整学位点的学位授予标准，追本溯源，追寻教育的根本问题：培养什么人、怎样培养人和为谁培养人。学位点参照《福建农林大学一级学科博、硕士学位授予标准》执行，将立德</w:t>
      </w:r>
      <w:proofErr w:type="gramStart"/>
      <w:r w:rsidRPr="00217C23">
        <w:rPr>
          <w:rFonts w:ascii="仿宋_GB2312" w:eastAsia="仿宋_GB2312" w:hAnsi="仿宋" w:hint="eastAsia"/>
          <w:color w:val="000000"/>
          <w:sz w:val="32"/>
          <w:szCs w:val="32"/>
        </w:rPr>
        <w:t>树人成效</w:t>
      </w:r>
      <w:proofErr w:type="gramEnd"/>
      <w:r w:rsidRPr="00217C23">
        <w:rPr>
          <w:rFonts w:ascii="仿宋_GB2312" w:eastAsia="仿宋_GB2312" w:hAnsi="仿宋" w:hint="eastAsia"/>
          <w:color w:val="000000"/>
          <w:sz w:val="32"/>
          <w:szCs w:val="32"/>
        </w:rPr>
        <w:t>作为根本标准，更加严格质量管理，着力提升博、硕士研究生的创新能力，完善研究生评价体系，破除“唯论文”顽疾，多方面、多层次、多角度评价研究生。获得本学位点博、硕士学位的研究生是社会主义接班人和建设者，有高尚的品德，需具备为人民服务，为国家战略服务的意识，特别是要有服务三农、不畏艰苦的情怀，具备坚实系统的植物保护基础理论和专业知识，系统掌握选题以及科学研究的各种方法技术，体现学科领域的前沿性、先进性和应用性。</w:t>
      </w:r>
    </w:p>
    <w:p w:rsidR="00F66134" w:rsidRPr="00217C23" w:rsidRDefault="002E7B0E">
      <w:pPr>
        <w:pStyle w:val="20"/>
        <w:numPr>
          <w:ilvl w:val="0"/>
          <w:numId w:val="1"/>
        </w:numPr>
        <w:spacing w:line="540" w:lineRule="exact"/>
        <w:ind w:firstLineChars="0"/>
        <w:rPr>
          <w:rFonts w:ascii="仿宋_GB2312" w:eastAsia="仿宋_GB2312" w:hAnsi="黑体"/>
          <w:bCs/>
          <w:sz w:val="32"/>
          <w:szCs w:val="32"/>
        </w:rPr>
      </w:pPr>
      <w:r w:rsidRPr="00217C23">
        <w:rPr>
          <w:rFonts w:ascii="仿宋_GB2312" w:eastAsia="仿宋_GB2312" w:hAnsi="黑体" w:hint="eastAsia"/>
          <w:bCs/>
          <w:sz w:val="32"/>
          <w:szCs w:val="32"/>
        </w:rPr>
        <w:t>基本条件</w:t>
      </w:r>
    </w:p>
    <w:p w:rsidR="00F66134" w:rsidRPr="00217C23" w:rsidRDefault="002E7B0E">
      <w:pPr>
        <w:pStyle w:val="20"/>
        <w:spacing w:line="540" w:lineRule="exact"/>
        <w:ind w:left="709" w:firstLineChars="0" w:firstLine="0"/>
        <w:rPr>
          <w:rFonts w:ascii="仿宋_GB2312" w:eastAsia="仿宋_GB2312" w:hAnsi="楷体"/>
          <w:sz w:val="32"/>
          <w:szCs w:val="32"/>
        </w:rPr>
      </w:pPr>
      <w:r w:rsidRPr="00217C23">
        <w:rPr>
          <w:rFonts w:ascii="仿宋_GB2312" w:eastAsia="仿宋_GB2312" w:hAnsi="楷体" w:hint="eastAsia"/>
          <w:sz w:val="32"/>
          <w:szCs w:val="32"/>
        </w:rPr>
        <w:t>1.培养方向</w:t>
      </w:r>
    </w:p>
    <w:p w:rsidR="00F66134" w:rsidRPr="00217C23" w:rsidRDefault="002E7B0E">
      <w:pPr>
        <w:autoSpaceDE w:val="0"/>
        <w:autoSpaceDN w:val="0"/>
        <w:spacing w:line="540" w:lineRule="exact"/>
        <w:ind w:firstLineChars="200" w:firstLine="640"/>
        <w:rPr>
          <w:rFonts w:ascii="仿宋_GB2312" w:eastAsia="仿宋_GB2312" w:hAnsi="仿宋"/>
          <w:kern w:val="0"/>
          <w:sz w:val="32"/>
          <w:szCs w:val="32"/>
        </w:rPr>
      </w:pPr>
      <w:r w:rsidRPr="00217C23">
        <w:rPr>
          <w:rFonts w:ascii="仿宋_GB2312" w:eastAsia="仿宋_GB2312" w:hAnsi="仿宋" w:hint="eastAsia"/>
          <w:kern w:val="0"/>
          <w:sz w:val="32"/>
          <w:szCs w:val="32"/>
        </w:rPr>
        <w:lastRenderedPageBreak/>
        <w:t>植物保护一级学科</w:t>
      </w:r>
      <w:r w:rsidRPr="00217C23">
        <w:rPr>
          <w:rFonts w:ascii="仿宋_GB2312" w:eastAsia="仿宋_GB2312" w:hAnsi="仿宋" w:hint="eastAsia"/>
          <w:color w:val="000000"/>
          <w:sz w:val="32"/>
          <w:szCs w:val="32"/>
        </w:rPr>
        <w:t>博士学位</w:t>
      </w:r>
      <w:r w:rsidRPr="00217C23">
        <w:rPr>
          <w:rFonts w:ascii="仿宋_GB2312" w:eastAsia="仿宋_GB2312" w:hAnsi="仿宋" w:hint="eastAsia"/>
          <w:kern w:val="0"/>
          <w:sz w:val="32"/>
          <w:szCs w:val="32"/>
        </w:rPr>
        <w:t>点形成了植物病理学、农业昆虫与害虫防治和农药学三个稳定的学科方向。</w:t>
      </w:r>
    </w:p>
    <w:p w:rsidR="00F66134" w:rsidRPr="00217C23" w:rsidRDefault="002E7B0E">
      <w:pPr>
        <w:autoSpaceDE w:val="0"/>
        <w:autoSpaceDN w:val="0"/>
        <w:spacing w:line="540" w:lineRule="exact"/>
        <w:ind w:firstLineChars="200" w:firstLine="640"/>
        <w:rPr>
          <w:rFonts w:ascii="仿宋_GB2312" w:eastAsia="仿宋_GB2312" w:hAnsi="仿宋"/>
          <w:kern w:val="0"/>
          <w:sz w:val="32"/>
          <w:szCs w:val="32"/>
        </w:rPr>
      </w:pPr>
      <w:r w:rsidRPr="00217C23">
        <w:rPr>
          <w:rFonts w:ascii="仿宋_GB2312" w:eastAsia="仿宋_GB2312" w:hAnsi="仿宋" w:hint="eastAsia"/>
          <w:kern w:val="0"/>
          <w:sz w:val="32"/>
          <w:szCs w:val="32"/>
        </w:rPr>
        <w:t>（1）植物病理学：主要从事植物病原物致病机理、植物抗病机理、病害生态学与流行学、病害防控</w:t>
      </w:r>
      <w:r w:rsidRPr="00217C23">
        <w:rPr>
          <w:rFonts w:ascii="仿宋_GB2312" w:eastAsia="仿宋_GB2312" w:hAnsi="仿宋" w:hint="eastAsia"/>
          <w:color w:val="000000"/>
          <w:sz w:val="32"/>
          <w:szCs w:val="32"/>
        </w:rPr>
        <w:t>原理</w:t>
      </w:r>
      <w:r w:rsidRPr="00217C23">
        <w:rPr>
          <w:rFonts w:ascii="仿宋_GB2312" w:eastAsia="仿宋_GB2312" w:hAnsi="仿宋" w:hint="eastAsia"/>
          <w:kern w:val="0"/>
          <w:sz w:val="32"/>
          <w:szCs w:val="32"/>
        </w:rPr>
        <w:t>及应用、植物－介体－病原物互作机制等方向的研究，应特别注重源于生产实践的基础研究或应用基础研究。应掌握植物病原学、病害生态学、病害流行学、植物抗病性、植物病害管理学等基础理论知识，具备较强的生产实践和专业创新能力。</w:t>
      </w:r>
    </w:p>
    <w:p w:rsidR="00F66134" w:rsidRPr="00217C23" w:rsidRDefault="002E7B0E">
      <w:pPr>
        <w:autoSpaceDE w:val="0"/>
        <w:autoSpaceDN w:val="0"/>
        <w:spacing w:line="540" w:lineRule="exact"/>
        <w:ind w:firstLineChars="200" w:firstLine="640"/>
        <w:rPr>
          <w:rFonts w:ascii="仿宋_GB2312" w:eastAsia="仿宋_GB2312" w:hAnsi="仿宋"/>
          <w:kern w:val="0"/>
          <w:sz w:val="32"/>
          <w:szCs w:val="32"/>
        </w:rPr>
      </w:pPr>
      <w:r w:rsidRPr="00217C23">
        <w:rPr>
          <w:rFonts w:ascii="仿宋_GB2312" w:eastAsia="仿宋_GB2312" w:hAnsi="仿宋" w:hint="eastAsia"/>
          <w:kern w:val="0"/>
          <w:sz w:val="32"/>
          <w:szCs w:val="32"/>
        </w:rPr>
        <w:t>（2）农业昆虫与害虫防治：主要从事昆虫分类与进化、昆虫生理与毒理学、昆虫遗传发育与基因组学、昆虫生态与害虫生态防控、昆虫行为与害虫生物防治等方向的研究。应掌握昆虫分类学、昆虫病理毒理学、昆虫生理生化、昆虫遗传学、昆虫生态学、细胞与分子生物学等理论基础知识，具备较强的生产实践和专业创新能力。</w:t>
      </w:r>
    </w:p>
    <w:p w:rsidR="00F66134" w:rsidRPr="00217C23" w:rsidRDefault="002E7B0E">
      <w:pPr>
        <w:autoSpaceDE w:val="0"/>
        <w:autoSpaceDN w:val="0"/>
        <w:spacing w:line="540" w:lineRule="exact"/>
        <w:ind w:firstLineChars="200" w:firstLine="640"/>
        <w:rPr>
          <w:rFonts w:ascii="仿宋_GB2312" w:eastAsia="仿宋_GB2312" w:hAnsi="仿宋"/>
          <w:sz w:val="32"/>
          <w:szCs w:val="32"/>
        </w:rPr>
      </w:pPr>
      <w:r w:rsidRPr="00217C23">
        <w:rPr>
          <w:rFonts w:ascii="仿宋_GB2312" w:eastAsia="仿宋_GB2312" w:hAnsi="仿宋" w:hint="eastAsia"/>
          <w:kern w:val="0"/>
          <w:sz w:val="32"/>
          <w:szCs w:val="32"/>
        </w:rPr>
        <w:t>（3）农药学：主要从事生物源农药的开发及应用、杀虫剂毒理及抗药性、农药合成、毒理及</w:t>
      </w:r>
      <w:r w:rsidRPr="00217C23">
        <w:rPr>
          <w:rFonts w:ascii="仿宋_GB2312" w:eastAsia="仿宋_GB2312" w:hAnsi="仿宋" w:hint="eastAsia"/>
          <w:color w:val="000000"/>
          <w:sz w:val="32"/>
          <w:szCs w:val="32"/>
        </w:rPr>
        <w:t>抗药性</w:t>
      </w:r>
      <w:r w:rsidRPr="00217C23">
        <w:rPr>
          <w:rFonts w:ascii="仿宋_GB2312" w:eastAsia="仿宋_GB2312" w:hAnsi="仿宋" w:hint="eastAsia"/>
          <w:kern w:val="0"/>
          <w:sz w:val="32"/>
          <w:szCs w:val="32"/>
        </w:rPr>
        <w:t>、农药分子靶标、农药残留检测等的研究。应掌握农药学、微生物学、毒理学、生理生化、细胞与分子生物学等理论基础知识，具备较强的生产实践和专业创新能力。</w:t>
      </w:r>
    </w:p>
    <w:p w:rsidR="00F66134" w:rsidRPr="00217C23" w:rsidRDefault="002E7B0E">
      <w:pPr>
        <w:pStyle w:val="1"/>
        <w:spacing w:line="540" w:lineRule="exact"/>
        <w:ind w:left="720" w:firstLineChars="0" w:firstLine="0"/>
        <w:rPr>
          <w:rFonts w:ascii="仿宋_GB2312" w:eastAsia="仿宋_GB2312" w:hAnsi="楷体"/>
          <w:sz w:val="32"/>
          <w:szCs w:val="32"/>
        </w:rPr>
      </w:pPr>
      <w:r w:rsidRPr="00217C23">
        <w:rPr>
          <w:rFonts w:ascii="仿宋_GB2312" w:eastAsia="仿宋_GB2312" w:hAnsi="楷体" w:hint="eastAsia"/>
          <w:sz w:val="32"/>
          <w:szCs w:val="32"/>
        </w:rPr>
        <w:t>2.</w:t>
      </w:r>
      <w:r w:rsidRPr="00217C23">
        <w:rPr>
          <w:rFonts w:ascii="仿宋_GB2312" w:eastAsia="仿宋_GB2312" w:hAnsi="楷体" w:hint="eastAsia"/>
          <w:bCs/>
          <w:sz w:val="32"/>
          <w:szCs w:val="32"/>
        </w:rPr>
        <w:t>师资队伍</w:t>
      </w:r>
    </w:p>
    <w:p w:rsidR="00F66134" w:rsidRPr="00217C23" w:rsidRDefault="002E7B0E">
      <w:pPr>
        <w:autoSpaceDE w:val="0"/>
        <w:autoSpaceDN w:val="0"/>
        <w:spacing w:line="540" w:lineRule="exact"/>
        <w:ind w:firstLineChars="200" w:firstLine="640"/>
        <w:rPr>
          <w:rFonts w:ascii="仿宋_GB2312" w:eastAsia="仿宋_GB2312" w:hAnsi="仿宋"/>
          <w:kern w:val="0"/>
          <w:sz w:val="32"/>
          <w:szCs w:val="32"/>
        </w:rPr>
      </w:pPr>
      <w:r w:rsidRPr="00217C23">
        <w:rPr>
          <w:rFonts w:ascii="仿宋_GB2312" w:eastAsia="仿宋_GB2312" w:hAnsi="仿宋" w:hint="eastAsia"/>
          <w:kern w:val="0"/>
          <w:sz w:val="32"/>
          <w:szCs w:val="32"/>
        </w:rPr>
        <w:t>本学位</w:t>
      </w:r>
      <w:proofErr w:type="gramStart"/>
      <w:r w:rsidRPr="00217C23">
        <w:rPr>
          <w:rFonts w:ascii="仿宋_GB2312" w:eastAsia="仿宋_GB2312" w:hAnsi="仿宋" w:hint="eastAsia"/>
          <w:kern w:val="0"/>
          <w:sz w:val="32"/>
          <w:szCs w:val="32"/>
        </w:rPr>
        <w:t>点现有</w:t>
      </w:r>
      <w:proofErr w:type="gramEnd"/>
      <w:r w:rsidRPr="00217C23">
        <w:rPr>
          <w:rFonts w:ascii="仿宋_GB2312" w:eastAsia="仿宋_GB2312" w:hAnsi="仿宋" w:hint="eastAsia"/>
          <w:kern w:val="0"/>
          <w:sz w:val="32"/>
          <w:szCs w:val="32"/>
        </w:rPr>
        <w:t>专任教师108人，具有博士学位教师94人，具有海外经历的教师有59人，45岁以下教师77人，46岁到60岁之间教师31人；正高职称教师25人，副高职称教师38人；硕士生导师51人，博士生导师23人。</w:t>
      </w:r>
    </w:p>
    <w:p w:rsidR="00F66134" w:rsidRDefault="00F66134">
      <w:pPr>
        <w:autoSpaceDE w:val="0"/>
        <w:autoSpaceDN w:val="0"/>
        <w:spacing w:line="540" w:lineRule="exact"/>
        <w:ind w:firstLineChars="200" w:firstLine="640"/>
        <w:rPr>
          <w:rFonts w:ascii="仿宋" w:eastAsia="仿宋" w:hAnsi="仿宋"/>
          <w:kern w:val="0"/>
          <w:sz w:val="32"/>
          <w:szCs w:val="32"/>
        </w:rPr>
      </w:pPr>
    </w:p>
    <w:p w:rsidR="00F66134" w:rsidRDefault="002E7B0E">
      <w:pPr>
        <w:spacing w:line="540" w:lineRule="exact"/>
        <w:jc w:val="center"/>
        <w:rPr>
          <w:rFonts w:ascii="仿宋" w:eastAsia="仿宋" w:hAnsi="仿宋"/>
          <w:bCs/>
          <w:color w:val="000000"/>
          <w:sz w:val="32"/>
          <w:szCs w:val="32"/>
        </w:rPr>
      </w:pPr>
      <w:r>
        <w:rPr>
          <w:rFonts w:ascii="仿宋" w:eastAsia="仿宋" w:hAnsi="仿宋"/>
          <w:bCs/>
          <w:color w:val="000000"/>
          <w:sz w:val="32"/>
          <w:szCs w:val="32"/>
        </w:rPr>
        <w:lastRenderedPageBreak/>
        <w:t>表1  本学位点师资结构</w:t>
      </w:r>
    </w:p>
    <w:tbl>
      <w:tblPr>
        <w:tblW w:w="8266" w:type="dxa"/>
        <w:tblInd w:w="93" w:type="dxa"/>
        <w:tblLayout w:type="fixed"/>
        <w:tblLook w:val="04A0" w:firstRow="1" w:lastRow="0" w:firstColumn="1" w:lastColumn="0" w:noHBand="0" w:noVBand="1"/>
      </w:tblPr>
      <w:tblGrid>
        <w:gridCol w:w="1982"/>
        <w:gridCol w:w="1322"/>
        <w:gridCol w:w="851"/>
        <w:gridCol w:w="992"/>
        <w:gridCol w:w="992"/>
        <w:gridCol w:w="993"/>
        <w:gridCol w:w="1134"/>
      </w:tblGrid>
      <w:tr w:rsidR="00F66134">
        <w:trPr>
          <w:trHeight w:val="761"/>
        </w:trPr>
        <w:tc>
          <w:tcPr>
            <w:tcW w:w="1982" w:type="dxa"/>
            <w:tcBorders>
              <w:top w:val="single" w:sz="4" w:space="0" w:color="auto"/>
              <w:left w:val="single" w:sz="4" w:space="0" w:color="auto"/>
              <w:bottom w:val="single" w:sz="4" w:space="0" w:color="auto"/>
              <w:right w:val="single" w:sz="4" w:space="0" w:color="000000"/>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植物病理学</w:t>
            </w:r>
          </w:p>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方向</w:t>
            </w:r>
          </w:p>
        </w:tc>
        <w:tc>
          <w:tcPr>
            <w:tcW w:w="1322" w:type="dxa"/>
            <w:tcBorders>
              <w:top w:val="single" w:sz="4" w:space="0" w:color="auto"/>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专任教师数</w:t>
            </w:r>
          </w:p>
        </w:tc>
        <w:tc>
          <w:tcPr>
            <w:tcW w:w="851" w:type="dxa"/>
            <w:tcBorders>
              <w:top w:val="single" w:sz="4" w:space="0" w:color="auto"/>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48人</w:t>
            </w:r>
          </w:p>
        </w:tc>
        <w:tc>
          <w:tcPr>
            <w:tcW w:w="992" w:type="dxa"/>
            <w:tcBorders>
              <w:top w:val="single" w:sz="4" w:space="0" w:color="auto"/>
              <w:left w:val="single" w:sz="4" w:space="0" w:color="3F3F3F"/>
              <w:bottom w:val="single" w:sz="4" w:space="0" w:color="3F3F3F"/>
              <w:right w:val="single" w:sz="4" w:space="0" w:color="3F3F3F"/>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正高职称</w:t>
            </w:r>
          </w:p>
        </w:tc>
        <w:tc>
          <w:tcPr>
            <w:tcW w:w="992" w:type="dxa"/>
            <w:tcBorders>
              <w:top w:val="single" w:sz="4" w:space="0" w:color="auto"/>
              <w:left w:val="nil"/>
              <w:bottom w:val="single" w:sz="4" w:space="0" w:color="3F3F3F"/>
              <w:right w:val="single" w:sz="4" w:space="0" w:color="3F3F3F"/>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12人</w:t>
            </w:r>
          </w:p>
        </w:tc>
        <w:tc>
          <w:tcPr>
            <w:tcW w:w="993" w:type="dxa"/>
            <w:tcBorders>
              <w:top w:val="single" w:sz="4" w:space="0" w:color="auto"/>
              <w:left w:val="nil"/>
              <w:bottom w:val="single" w:sz="4" w:space="0" w:color="3F3F3F"/>
              <w:right w:val="single" w:sz="4" w:space="0" w:color="3F3F3F"/>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副高职称</w:t>
            </w:r>
          </w:p>
        </w:tc>
        <w:tc>
          <w:tcPr>
            <w:tcW w:w="1134" w:type="dxa"/>
            <w:tcBorders>
              <w:top w:val="single" w:sz="4" w:space="0" w:color="auto"/>
              <w:left w:val="nil"/>
              <w:bottom w:val="single" w:sz="4" w:space="0" w:color="3F3F3F"/>
              <w:right w:val="single" w:sz="4" w:space="0" w:color="3F3F3F"/>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13人</w:t>
            </w:r>
          </w:p>
        </w:tc>
      </w:tr>
      <w:tr w:rsidR="00F66134">
        <w:trPr>
          <w:trHeight w:val="761"/>
        </w:trPr>
        <w:tc>
          <w:tcPr>
            <w:tcW w:w="1982" w:type="dxa"/>
            <w:tcBorders>
              <w:top w:val="single" w:sz="4" w:space="0" w:color="auto"/>
              <w:left w:val="single" w:sz="4" w:space="0" w:color="auto"/>
              <w:bottom w:val="single" w:sz="4" w:space="0" w:color="auto"/>
              <w:right w:val="single" w:sz="4" w:space="0" w:color="000000"/>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农业昆虫与</w:t>
            </w:r>
          </w:p>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害虫防治方向</w:t>
            </w:r>
          </w:p>
        </w:tc>
        <w:tc>
          <w:tcPr>
            <w:tcW w:w="1322" w:type="dxa"/>
            <w:tcBorders>
              <w:top w:val="nil"/>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专任教师数</w:t>
            </w:r>
          </w:p>
        </w:tc>
        <w:tc>
          <w:tcPr>
            <w:tcW w:w="851" w:type="dxa"/>
            <w:tcBorders>
              <w:top w:val="nil"/>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34人</w:t>
            </w:r>
          </w:p>
        </w:tc>
        <w:tc>
          <w:tcPr>
            <w:tcW w:w="992" w:type="dxa"/>
            <w:tcBorders>
              <w:top w:val="single" w:sz="4" w:space="0" w:color="3F3F3F"/>
              <w:left w:val="single" w:sz="4" w:space="0" w:color="3F3F3F"/>
              <w:bottom w:val="single" w:sz="4" w:space="0" w:color="3F3F3F"/>
              <w:right w:val="single" w:sz="4" w:space="0" w:color="3F3F3F"/>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正高职称</w:t>
            </w:r>
          </w:p>
        </w:tc>
        <w:tc>
          <w:tcPr>
            <w:tcW w:w="992" w:type="dxa"/>
            <w:tcBorders>
              <w:top w:val="single" w:sz="4" w:space="0" w:color="3F3F3F"/>
              <w:left w:val="nil"/>
              <w:bottom w:val="single" w:sz="4" w:space="0" w:color="3F3F3F"/>
              <w:right w:val="single" w:sz="4" w:space="0" w:color="3F3F3F"/>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8人</w:t>
            </w:r>
          </w:p>
        </w:tc>
        <w:tc>
          <w:tcPr>
            <w:tcW w:w="993" w:type="dxa"/>
            <w:tcBorders>
              <w:top w:val="single" w:sz="4" w:space="0" w:color="3F3F3F"/>
              <w:left w:val="nil"/>
              <w:bottom w:val="single" w:sz="4" w:space="0" w:color="3F3F3F"/>
              <w:right w:val="single" w:sz="4" w:space="0" w:color="3F3F3F"/>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副高职称</w:t>
            </w:r>
          </w:p>
        </w:tc>
        <w:tc>
          <w:tcPr>
            <w:tcW w:w="1134" w:type="dxa"/>
            <w:tcBorders>
              <w:top w:val="single" w:sz="4" w:space="0" w:color="3F3F3F"/>
              <w:left w:val="nil"/>
              <w:bottom w:val="single" w:sz="4" w:space="0" w:color="3F3F3F"/>
              <w:right w:val="single" w:sz="4" w:space="0" w:color="3F3F3F"/>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13人</w:t>
            </w:r>
          </w:p>
        </w:tc>
      </w:tr>
      <w:tr w:rsidR="00F66134">
        <w:trPr>
          <w:trHeight w:val="761"/>
        </w:trPr>
        <w:tc>
          <w:tcPr>
            <w:tcW w:w="1982" w:type="dxa"/>
            <w:tcBorders>
              <w:top w:val="single" w:sz="4" w:space="0" w:color="auto"/>
              <w:left w:val="single" w:sz="4" w:space="0" w:color="auto"/>
              <w:bottom w:val="single" w:sz="4" w:space="0" w:color="auto"/>
              <w:right w:val="single" w:sz="4" w:space="0" w:color="000000"/>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农药</w:t>
            </w:r>
            <w:proofErr w:type="gramStart"/>
            <w:r>
              <w:rPr>
                <w:rFonts w:ascii="仿宋" w:eastAsia="仿宋" w:hAnsi="仿宋"/>
                <w:color w:val="000000"/>
                <w:sz w:val="32"/>
                <w:szCs w:val="32"/>
              </w:rPr>
              <w:t>学方向</w:t>
            </w:r>
            <w:proofErr w:type="gramEnd"/>
          </w:p>
        </w:tc>
        <w:tc>
          <w:tcPr>
            <w:tcW w:w="1322" w:type="dxa"/>
            <w:tcBorders>
              <w:top w:val="single" w:sz="4" w:space="0" w:color="3F3F3F"/>
              <w:left w:val="single" w:sz="4" w:space="0" w:color="3F3F3F"/>
              <w:bottom w:val="single" w:sz="4" w:space="0" w:color="3F3F3F"/>
              <w:right w:val="single" w:sz="4" w:space="0" w:color="3F3F3F"/>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专任教师数</w:t>
            </w:r>
          </w:p>
        </w:tc>
        <w:tc>
          <w:tcPr>
            <w:tcW w:w="851" w:type="dxa"/>
            <w:tcBorders>
              <w:top w:val="single" w:sz="4" w:space="0" w:color="3F3F3F"/>
              <w:left w:val="nil"/>
              <w:bottom w:val="single" w:sz="4" w:space="0" w:color="3F3F3F"/>
              <w:right w:val="single" w:sz="4" w:space="0" w:color="3F3F3F"/>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21人</w:t>
            </w:r>
          </w:p>
        </w:tc>
        <w:tc>
          <w:tcPr>
            <w:tcW w:w="992" w:type="dxa"/>
            <w:tcBorders>
              <w:top w:val="nil"/>
              <w:left w:val="nil"/>
              <w:bottom w:val="single" w:sz="4" w:space="0" w:color="3F3F3F"/>
              <w:right w:val="single" w:sz="4" w:space="0" w:color="3F3F3F"/>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正高职称</w:t>
            </w:r>
          </w:p>
        </w:tc>
        <w:tc>
          <w:tcPr>
            <w:tcW w:w="992" w:type="dxa"/>
            <w:tcBorders>
              <w:top w:val="nil"/>
              <w:left w:val="nil"/>
              <w:bottom w:val="single" w:sz="4" w:space="0" w:color="3F3F3F"/>
              <w:right w:val="single" w:sz="4" w:space="0" w:color="3F3F3F"/>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6人</w:t>
            </w:r>
          </w:p>
        </w:tc>
        <w:tc>
          <w:tcPr>
            <w:tcW w:w="993" w:type="dxa"/>
            <w:tcBorders>
              <w:top w:val="nil"/>
              <w:left w:val="nil"/>
              <w:bottom w:val="single" w:sz="4" w:space="0" w:color="3F3F3F"/>
              <w:right w:val="single" w:sz="4" w:space="0" w:color="3F3F3F"/>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副高职称</w:t>
            </w:r>
          </w:p>
        </w:tc>
        <w:tc>
          <w:tcPr>
            <w:tcW w:w="1134" w:type="dxa"/>
            <w:tcBorders>
              <w:top w:val="nil"/>
              <w:left w:val="nil"/>
              <w:bottom w:val="single" w:sz="4" w:space="0" w:color="3F3F3F"/>
              <w:right w:val="single" w:sz="4" w:space="0" w:color="3F3F3F"/>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7人</w:t>
            </w:r>
          </w:p>
        </w:tc>
      </w:tr>
      <w:tr w:rsidR="00F66134">
        <w:trPr>
          <w:trHeight w:val="500"/>
        </w:trPr>
        <w:tc>
          <w:tcPr>
            <w:tcW w:w="7132" w:type="dxa"/>
            <w:gridSpan w:val="6"/>
            <w:tcBorders>
              <w:top w:val="single" w:sz="4" w:space="0" w:color="auto"/>
              <w:left w:val="single" w:sz="4" w:space="0" w:color="auto"/>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中科院院士</w:t>
            </w:r>
          </w:p>
        </w:tc>
        <w:tc>
          <w:tcPr>
            <w:tcW w:w="1134" w:type="dxa"/>
            <w:tcBorders>
              <w:top w:val="single" w:sz="4" w:space="0" w:color="auto"/>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1人</w:t>
            </w:r>
          </w:p>
        </w:tc>
      </w:tr>
      <w:tr w:rsidR="00F66134">
        <w:trPr>
          <w:trHeight w:val="500"/>
        </w:trPr>
        <w:tc>
          <w:tcPr>
            <w:tcW w:w="7132" w:type="dxa"/>
            <w:gridSpan w:val="6"/>
            <w:tcBorders>
              <w:top w:val="single" w:sz="4" w:space="0" w:color="auto"/>
              <w:left w:val="single" w:sz="4" w:space="0" w:color="auto"/>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国家杰青</w:t>
            </w:r>
          </w:p>
        </w:tc>
        <w:tc>
          <w:tcPr>
            <w:tcW w:w="1134" w:type="dxa"/>
            <w:tcBorders>
              <w:top w:val="nil"/>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2人</w:t>
            </w:r>
          </w:p>
        </w:tc>
      </w:tr>
      <w:tr w:rsidR="00F66134">
        <w:trPr>
          <w:trHeight w:val="500"/>
        </w:trPr>
        <w:tc>
          <w:tcPr>
            <w:tcW w:w="7132" w:type="dxa"/>
            <w:gridSpan w:val="6"/>
            <w:tcBorders>
              <w:top w:val="single" w:sz="4" w:space="0" w:color="auto"/>
              <w:left w:val="single" w:sz="4" w:space="0" w:color="auto"/>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proofErr w:type="gramStart"/>
            <w:r>
              <w:rPr>
                <w:rFonts w:ascii="仿宋" w:eastAsia="仿宋" w:hAnsi="仿宋"/>
                <w:color w:val="000000"/>
                <w:sz w:val="32"/>
                <w:szCs w:val="32"/>
              </w:rPr>
              <w:t>国家优青</w:t>
            </w:r>
            <w:proofErr w:type="gramEnd"/>
          </w:p>
        </w:tc>
        <w:tc>
          <w:tcPr>
            <w:tcW w:w="1134" w:type="dxa"/>
            <w:tcBorders>
              <w:top w:val="nil"/>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3人</w:t>
            </w:r>
          </w:p>
        </w:tc>
      </w:tr>
      <w:tr w:rsidR="00F66134">
        <w:trPr>
          <w:trHeight w:val="500"/>
        </w:trPr>
        <w:tc>
          <w:tcPr>
            <w:tcW w:w="7132" w:type="dxa"/>
            <w:gridSpan w:val="6"/>
            <w:tcBorders>
              <w:top w:val="single" w:sz="4" w:space="0" w:color="auto"/>
              <w:left w:val="single" w:sz="4" w:space="0" w:color="auto"/>
              <w:bottom w:val="single" w:sz="4" w:space="0" w:color="auto"/>
              <w:right w:val="single" w:sz="4" w:space="0" w:color="000000"/>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万人计划</w:t>
            </w:r>
          </w:p>
        </w:tc>
        <w:tc>
          <w:tcPr>
            <w:tcW w:w="1134" w:type="dxa"/>
            <w:tcBorders>
              <w:top w:val="nil"/>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2人</w:t>
            </w:r>
          </w:p>
        </w:tc>
      </w:tr>
      <w:tr w:rsidR="00F66134">
        <w:trPr>
          <w:trHeight w:val="500"/>
        </w:trPr>
        <w:tc>
          <w:tcPr>
            <w:tcW w:w="7132" w:type="dxa"/>
            <w:gridSpan w:val="6"/>
            <w:tcBorders>
              <w:top w:val="single" w:sz="4" w:space="0" w:color="auto"/>
              <w:left w:val="single" w:sz="4" w:space="0" w:color="auto"/>
              <w:bottom w:val="single" w:sz="4" w:space="0" w:color="auto"/>
              <w:right w:val="single" w:sz="4" w:space="0" w:color="000000"/>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何梁何利奖获得者</w:t>
            </w:r>
          </w:p>
        </w:tc>
        <w:tc>
          <w:tcPr>
            <w:tcW w:w="1134" w:type="dxa"/>
            <w:tcBorders>
              <w:top w:val="nil"/>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1人</w:t>
            </w:r>
          </w:p>
        </w:tc>
      </w:tr>
      <w:tr w:rsidR="00F66134">
        <w:trPr>
          <w:trHeight w:val="500"/>
        </w:trPr>
        <w:tc>
          <w:tcPr>
            <w:tcW w:w="7132" w:type="dxa"/>
            <w:gridSpan w:val="6"/>
            <w:tcBorders>
              <w:top w:val="single" w:sz="4" w:space="0" w:color="auto"/>
              <w:left w:val="single" w:sz="4" w:space="0" w:color="auto"/>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科技部中青年科技创新领军人才</w:t>
            </w:r>
          </w:p>
        </w:tc>
        <w:tc>
          <w:tcPr>
            <w:tcW w:w="1134" w:type="dxa"/>
            <w:tcBorders>
              <w:top w:val="nil"/>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2人</w:t>
            </w:r>
          </w:p>
        </w:tc>
      </w:tr>
      <w:tr w:rsidR="00F66134">
        <w:trPr>
          <w:trHeight w:val="500"/>
        </w:trPr>
        <w:tc>
          <w:tcPr>
            <w:tcW w:w="7132" w:type="dxa"/>
            <w:gridSpan w:val="6"/>
            <w:tcBorders>
              <w:top w:val="single" w:sz="4" w:space="0" w:color="auto"/>
              <w:left w:val="single" w:sz="4" w:space="0" w:color="auto"/>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全国杰出专业技术人才</w:t>
            </w:r>
          </w:p>
        </w:tc>
        <w:tc>
          <w:tcPr>
            <w:tcW w:w="1134" w:type="dxa"/>
            <w:tcBorders>
              <w:top w:val="nil"/>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1人</w:t>
            </w:r>
          </w:p>
        </w:tc>
      </w:tr>
      <w:tr w:rsidR="00F66134">
        <w:trPr>
          <w:trHeight w:val="500"/>
        </w:trPr>
        <w:tc>
          <w:tcPr>
            <w:tcW w:w="7132" w:type="dxa"/>
            <w:gridSpan w:val="6"/>
            <w:tcBorders>
              <w:top w:val="single" w:sz="4" w:space="0" w:color="auto"/>
              <w:left w:val="single" w:sz="4" w:space="0" w:color="auto"/>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国家有突出贡献的中青年专家</w:t>
            </w:r>
          </w:p>
        </w:tc>
        <w:tc>
          <w:tcPr>
            <w:tcW w:w="1134" w:type="dxa"/>
            <w:tcBorders>
              <w:top w:val="nil"/>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5人</w:t>
            </w:r>
          </w:p>
        </w:tc>
      </w:tr>
      <w:tr w:rsidR="00F66134">
        <w:trPr>
          <w:trHeight w:val="500"/>
        </w:trPr>
        <w:tc>
          <w:tcPr>
            <w:tcW w:w="7132" w:type="dxa"/>
            <w:gridSpan w:val="6"/>
            <w:tcBorders>
              <w:top w:val="single" w:sz="4" w:space="0" w:color="auto"/>
              <w:left w:val="single" w:sz="4" w:space="0" w:color="auto"/>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国家百千万人才工程</w:t>
            </w:r>
          </w:p>
        </w:tc>
        <w:tc>
          <w:tcPr>
            <w:tcW w:w="1134" w:type="dxa"/>
            <w:tcBorders>
              <w:top w:val="nil"/>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5人</w:t>
            </w:r>
          </w:p>
        </w:tc>
      </w:tr>
      <w:tr w:rsidR="00F66134">
        <w:trPr>
          <w:trHeight w:val="500"/>
        </w:trPr>
        <w:tc>
          <w:tcPr>
            <w:tcW w:w="7132" w:type="dxa"/>
            <w:gridSpan w:val="6"/>
            <w:tcBorders>
              <w:top w:val="single" w:sz="4" w:space="0" w:color="auto"/>
              <w:left w:val="single" w:sz="4" w:space="0" w:color="auto"/>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国务院学科评议组成员</w:t>
            </w:r>
          </w:p>
        </w:tc>
        <w:tc>
          <w:tcPr>
            <w:tcW w:w="1134" w:type="dxa"/>
            <w:tcBorders>
              <w:top w:val="nil"/>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1人</w:t>
            </w:r>
          </w:p>
        </w:tc>
      </w:tr>
      <w:tr w:rsidR="00F66134">
        <w:trPr>
          <w:trHeight w:val="500"/>
        </w:trPr>
        <w:tc>
          <w:tcPr>
            <w:tcW w:w="7132" w:type="dxa"/>
            <w:gridSpan w:val="6"/>
            <w:tcBorders>
              <w:top w:val="single" w:sz="4" w:space="0" w:color="auto"/>
              <w:left w:val="single" w:sz="4" w:space="0" w:color="auto"/>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第七届教育部科技委学部委员</w:t>
            </w:r>
          </w:p>
        </w:tc>
        <w:tc>
          <w:tcPr>
            <w:tcW w:w="1134" w:type="dxa"/>
            <w:tcBorders>
              <w:top w:val="nil"/>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1人</w:t>
            </w:r>
          </w:p>
        </w:tc>
      </w:tr>
      <w:tr w:rsidR="00F66134">
        <w:trPr>
          <w:trHeight w:val="500"/>
        </w:trPr>
        <w:tc>
          <w:tcPr>
            <w:tcW w:w="7132" w:type="dxa"/>
            <w:gridSpan w:val="6"/>
            <w:tcBorders>
              <w:top w:val="single" w:sz="4" w:space="0" w:color="auto"/>
              <w:left w:val="single" w:sz="4" w:space="0" w:color="auto"/>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农业部农业科研杰出人才</w:t>
            </w:r>
          </w:p>
        </w:tc>
        <w:tc>
          <w:tcPr>
            <w:tcW w:w="1134" w:type="dxa"/>
            <w:tcBorders>
              <w:top w:val="nil"/>
              <w:left w:val="nil"/>
              <w:bottom w:val="single" w:sz="4" w:space="0" w:color="auto"/>
              <w:right w:val="single" w:sz="4" w:space="0" w:color="auto"/>
            </w:tcBorders>
            <w:vAlign w:val="center"/>
          </w:tcPr>
          <w:p w:rsidR="00F66134" w:rsidRDefault="002E7B0E">
            <w:pPr>
              <w:widowControl/>
              <w:spacing w:line="540" w:lineRule="exact"/>
              <w:jc w:val="center"/>
              <w:rPr>
                <w:rFonts w:ascii="仿宋" w:eastAsia="仿宋" w:hAnsi="仿宋"/>
                <w:color w:val="000000"/>
                <w:sz w:val="32"/>
                <w:szCs w:val="32"/>
              </w:rPr>
            </w:pPr>
            <w:r>
              <w:rPr>
                <w:rFonts w:ascii="仿宋" w:eastAsia="仿宋" w:hAnsi="仿宋"/>
                <w:color w:val="000000"/>
                <w:sz w:val="32"/>
                <w:szCs w:val="32"/>
              </w:rPr>
              <w:t>1人</w:t>
            </w:r>
          </w:p>
        </w:tc>
      </w:tr>
    </w:tbl>
    <w:p w:rsidR="00F66134" w:rsidRDefault="00F66134">
      <w:pPr>
        <w:spacing w:line="540" w:lineRule="exact"/>
        <w:rPr>
          <w:rFonts w:ascii="仿宋" w:eastAsia="仿宋" w:hAnsi="仿宋"/>
          <w:sz w:val="32"/>
          <w:szCs w:val="32"/>
        </w:rPr>
      </w:pPr>
    </w:p>
    <w:p w:rsidR="00F66134" w:rsidRPr="00217C23" w:rsidRDefault="002E7B0E">
      <w:pPr>
        <w:pStyle w:val="1"/>
        <w:spacing w:line="540" w:lineRule="exact"/>
        <w:ind w:left="720" w:firstLineChars="0" w:firstLine="0"/>
        <w:rPr>
          <w:rFonts w:ascii="仿宋_GB2312" w:eastAsia="仿宋_GB2312" w:hAnsi="楷体"/>
          <w:bCs/>
          <w:color w:val="002060"/>
          <w:sz w:val="32"/>
          <w:szCs w:val="32"/>
        </w:rPr>
      </w:pPr>
      <w:r w:rsidRPr="00217C23">
        <w:rPr>
          <w:rFonts w:ascii="仿宋_GB2312" w:eastAsia="仿宋_GB2312" w:hAnsi="楷体" w:hint="eastAsia"/>
          <w:bCs/>
          <w:sz w:val="32"/>
          <w:szCs w:val="32"/>
        </w:rPr>
        <w:t>3.科学研究</w:t>
      </w:r>
    </w:p>
    <w:p w:rsidR="00F66134" w:rsidRPr="00217C23" w:rsidRDefault="002E7B0E">
      <w:pPr>
        <w:autoSpaceDE w:val="0"/>
        <w:autoSpaceDN w:val="0"/>
        <w:spacing w:line="540" w:lineRule="exact"/>
        <w:ind w:firstLineChars="200" w:firstLine="640"/>
        <w:rPr>
          <w:rFonts w:ascii="仿宋_GB2312" w:eastAsia="仿宋_GB2312" w:hAnsi="仿宋"/>
          <w:kern w:val="0"/>
          <w:sz w:val="32"/>
          <w:szCs w:val="32"/>
        </w:rPr>
      </w:pPr>
      <w:proofErr w:type="gramStart"/>
      <w:r w:rsidRPr="00217C23">
        <w:rPr>
          <w:rFonts w:ascii="仿宋_GB2312" w:eastAsia="仿宋_GB2312" w:hAnsi="仿宋" w:hint="eastAsia"/>
          <w:kern w:val="0"/>
          <w:sz w:val="32"/>
          <w:szCs w:val="32"/>
        </w:rPr>
        <w:t>学位点获国家</w:t>
      </w:r>
      <w:proofErr w:type="gramEnd"/>
      <w:r w:rsidRPr="00217C23">
        <w:rPr>
          <w:rFonts w:ascii="仿宋_GB2312" w:eastAsia="仿宋_GB2312" w:hAnsi="仿宋" w:hint="eastAsia"/>
          <w:kern w:val="0"/>
          <w:sz w:val="32"/>
          <w:szCs w:val="32"/>
        </w:rPr>
        <w:t>自然</w:t>
      </w:r>
      <w:proofErr w:type="gramStart"/>
      <w:r w:rsidRPr="00217C23">
        <w:rPr>
          <w:rFonts w:ascii="仿宋_GB2312" w:eastAsia="仿宋_GB2312" w:hAnsi="仿宋" w:hint="eastAsia"/>
          <w:kern w:val="0"/>
          <w:sz w:val="32"/>
          <w:szCs w:val="32"/>
        </w:rPr>
        <w:t>科基金</w:t>
      </w:r>
      <w:proofErr w:type="gramEnd"/>
      <w:r w:rsidRPr="00217C23">
        <w:rPr>
          <w:rFonts w:ascii="仿宋_GB2312" w:eastAsia="仿宋_GB2312" w:hAnsi="仿宋" w:hint="eastAsia"/>
          <w:kern w:val="0"/>
          <w:sz w:val="32"/>
          <w:szCs w:val="32"/>
        </w:rPr>
        <w:t>10项，经费达619万元。</w:t>
      </w:r>
      <w:proofErr w:type="gramStart"/>
      <w:r w:rsidRPr="00217C23">
        <w:rPr>
          <w:rFonts w:ascii="仿宋_GB2312" w:eastAsia="仿宋_GB2312" w:hAnsi="仿宋" w:hint="eastAsia"/>
          <w:kern w:val="0"/>
          <w:sz w:val="32"/>
          <w:szCs w:val="32"/>
        </w:rPr>
        <w:t>新增省基金</w:t>
      </w:r>
      <w:proofErr w:type="gramEnd"/>
      <w:r w:rsidRPr="00217C23">
        <w:rPr>
          <w:rFonts w:ascii="仿宋_GB2312" w:eastAsia="仿宋_GB2312" w:hAnsi="仿宋" w:hint="eastAsia"/>
          <w:kern w:val="0"/>
          <w:sz w:val="32"/>
          <w:szCs w:val="32"/>
        </w:rPr>
        <w:t>项目12项，经费达145.8万。全年发表论文86篇，授权专利8件。1人获中国农学会青年科技奖，1人获中国茶叶</w:t>
      </w:r>
      <w:r w:rsidRPr="00217C23">
        <w:rPr>
          <w:rFonts w:ascii="仿宋_GB2312" w:eastAsia="仿宋_GB2312" w:hAnsi="仿宋" w:hint="eastAsia"/>
          <w:kern w:val="0"/>
          <w:sz w:val="32"/>
          <w:szCs w:val="32"/>
        </w:rPr>
        <w:lastRenderedPageBreak/>
        <w:t>学会青年科技奖。新增教育部中外合作办学项目1项（为全国唯一的“博士生”层次合作办学项目）。</w:t>
      </w:r>
    </w:p>
    <w:p w:rsidR="00F66134" w:rsidRPr="00217C23" w:rsidRDefault="002E7B0E">
      <w:pPr>
        <w:autoSpaceDE w:val="0"/>
        <w:autoSpaceDN w:val="0"/>
        <w:spacing w:line="540" w:lineRule="exact"/>
        <w:ind w:firstLineChars="200" w:firstLine="640"/>
        <w:rPr>
          <w:rFonts w:ascii="仿宋_GB2312" w:eastAsia="仿宋_GB2312" w:hAnsi="仿宋"/>
          <w:kern w:val="0"/>
          <w:sz w:val="32"/>
          <w:szCs w:val="32"/>
        </w:rPr>
      </w:pPr>
      <w:r w:rsidRPr="00217C23">
        <w:rPr>
          <w:rFonts w:ascii="仿宋_GB2312" w:eastAsia="仿宋_GB2312" w:hAnsi="仿宋" w:hint="eastAsia"/>
          <w:kern w:val="0"/>
          <w:sz w:val="32"/>
          <w:szCs w:val="32"/>
        </w:rPr>
        <w:t>新增闽台作物害虫生态防控国际科技合作基地和国家农业生物安全科学中心华东分中心2个国家级平台；新增害虫生态防控国际合作联合实验室、尤溪洋中蔬菜害虫</w:t>
      </w:r>
      <w:r w:rsidRPr="00217C23">
        <w:rPr>
          <w:rFonts w:ascii="仿宋_GB2312" w:eastAsia="仿宋_GB2312" w:hAnsi="仿宋" w:hint="eastAsia"/>
          <w:color w:val="000000"/>
          <w:sz w:val="32"/>
          <w:szCs w:val="32"/>
        </w:rPr>
        <w:t>福建省</w:t>
      </w:r>
      <w:r w:rsidRPr="00217C23">
        <w:rPr>
          <w:rFonts w:ascii="仿宋_GB2312" w:eastAsia="仿宋_GB2312" w:hAnsi="仿宋" w:hint="eastAsia"/>
          <w:kern w:val="0"/>
          <w:sz w:val="32"/>
          <w:szCs w:val="32"/>
        </w:rPr>
        <w:t>野外科学观测研究站、省级专业学位研究生联合培养基地3个省部级平台。</w:t>
      </w:r>
    </w:p>
    <w:p w:rsidR="00F66134" w:rsidRPr="00217C23" w:rsidRDefault="002E7B0E">
      <w:pPr>
        <w:autoSpaceDE w:val="0"/>
        <w:autoSpaceDN w:val="0"/>
        <w:spacing w:line="540" w:lineRule="exact"/>
        <w:ind w:firstLineChars="200" w:firstLine="640"/>
        <w:rPr>
          <w:rFonts w:ascii="仿宋_GB2312" w:eastAsia="仿宋_GB2312" w:hAnsi="仿宋"/>
          <w:kern w:val="0"/>
          <w:sz w:val="32"/>
          <w:szCs w:val="32"/>
        </w:rPr>
      </w:pPr>
      <w:r w:rsidRPr="00217C23">
        <w:rPr>
          <w:rFonts w:ascii="仿宋_GB2312" w:eastAsia="仿宋_GB2312" w:hAnsi="仿宋" w:hint="eastAsia"/>
          <w:kern w:val="0"/>
          <w:sz w:val="32"/>
          <w:szCs w:val="32"/>
        </w:rPr>
        <w:t>研究生获省优秀博士学位论文1篇、省优秀硕士学位论文3篇；发表学术论文54篇，授权专利6项。</w:t>
      </w:r>
    </w:p>
    <w:p w:rsidR="00F66134" w:rsidRPr="00217C23" w:rsidRDefault="002E7B0E">
      <w:pPr>
        <w:pStyle w:val="1"/>
        <w:spacing w:line="540" w:lineRule="exact"/>
        <w:ind w:left="720" w:firstLineChars="0" w:firstLine="0"/>
        <w:rPr>
          <w:rFonts w:ascii="仿宋_GB2312" w:eastAsia="仿宋_GB2312" w:hAnsi="楷体"/>
          <w:bCs/>
          <w:sz w:val="32"/>
          <w:szCs w:val="32"/>
        </w:rPr>
      </w:pPr>
      <w:r w:rsidRPr="00217C23">
        <w:rPr>
          <w:rFonts w:ascii="仿宋_GB2312" w:eastAsia="仿宋_GB2312" w:hAnsi="楷体" w:hint="eastAsia"/>
          <w:bCs/>
          <w:sz w:val="32"/>
          <w:szCs w:val="32"/>
        </w:rPr>
        <w:t>4.教学科研支撑</w:t>
      </w:r>
    </w:p>
    <w:p w:rsidR="00F66134" w:rsidRPr="00217C23" w:rsidRDefault="002E7B0E">
      <w:pPr>
        <w:autoSpaceDE w:val="0"/>
        <w:autoSpaceDN w:val="0"/>
        <w:spacing w:line="540" w:lineRule="exact"/>
        <w:ind w:firstLineChars="200" w:firstLine="640"/>
        <w:rPr>
          <w:rFonts w:ascii="仿宋_GB2312" w:eastAsia="仿宋_GB2312" w:hAnsi="仿宋"/>
          <w:color w:val="000000"/>
          <w:sz w:val="32"/>
          <w:szCs w:val="32"/>
        </w:rPr>
      </w:pPr>
      <w:r w:rsidRPr="00217C23">
        <w:rPr>
          <w:rFonts w:ascii="仿宋_GB2312" w:eastAsia="仿宋_GB2312" w:hAnsi="仿宋" w:hint="eastAsia"/>
          <w:color w:val="000000"/>
          <w:sz w:val="32"/>
          <w:szCs w:val="32"/>
        </w:rPr>
        <w:t>（1）教学设施</w:t>
      </w:r>
    </w:p>
    <w:p w:rsidR="00F66134" w:rsidRPr="00217C23" w:rsidRDefault="002E7B0E">
      <w:pPr>
        <w:autoSpaceDE w:val="0"/>
        <w:autoSpaceDN w:val="0"/>
        <w:spacing w:line="540" w:lineRule="exact"/>
        <w:ind w:firstLineChars="200" w:firstLine="640"/>
        <w:rPr>
          <w:rFonts w:ascii="仿宋_GB2312" w:eastAsia="仿宋_GB2312" w:hAnsi="仿宋"/>
          <w:color w:val="000000"/>
          <w:sz w:val="32"/>
          <w:szCs w:val="32"/>
        </w:rPr>
      </w:pPr>
      <w:r w:rsidRPr="00217C23">
        <w:rPr>
          <w:rFonts w:ascii="仿宋_GB2312" w:eastAsia="仿宋_GB2312" w:hAnsi="仿宋" w:hint="eastAsia"/>
          <w:color w:val="000000"/>
          <w:sz w:val="32"/>
          <w:szCs w:val="32"/>
        </w:rPr>
        <w:t>本学位专门配备研究生上课的专用多媒体教室3间，面积达336平方米，可供130人左右的学生进行教学和研讨使用。</w:t>
      </w:r>
    </w:p>
    <w:p w:rsidR="00F66134" w:rsidRPr="00217C23" w:rsidRDefault="002E7B0E">
      <w:pPr>
        <w:autoSpaceDE w:val="0"/>
        <w:autoSpaceDN w:val="0"/>
        <w:spacing w:line="540" w:lineRule="exact"/>
        <w:ind w:firstLineChars="200" w:firstLine="640"/>
        <w:rPr>
          <w:rFonts w:ascii="仿宋_GB2312" w:eastAsia="仿宋_GB2312" w:hAnsi="仿宋"/>
          <w:color w:val="000000"/>
          <w:sz w:val="32"/>
          <w:szCs w:val="32"/>
        </w:rPr>
      </w:pPr>
      <w:r w:rsidRPr="00217C23">
        <w:rPr>
          <w:rFonts w:ascii="仿宋_GB2312" w:eastAsia="仿宋_GB2312" w:hAnsi="仿宋" w:hint="eastAsia"/>
          <w:color w:val="000000"/>
          <w:sz w:val="32"/>
          <w:szCs w:val="32"/>
        </w:rPr>
        <w:t>（2）教学科研平台</w:t>
      </w:r>
    </w:p>
    <w:p w:rsidR="00F66134" w:rsidRPr="00217C23" w:rsidRDefault="002E7B0E">
      <w:pPr>
        <w:autoSpaceDE w:val="0"/>
        <w:autoSpaceDN w:val="0"/>
        <w:spacing w:line="540" w:lineRule="exact"/>
        <w:ind w:firstLineChars="200" w:firstLine="640"/>
        <w:rPr>
          <w:rFonts w:ascii="仿宋_GB2312" w:eastAsia="仿宋_GB2312" w:hAnsi="仿宋"/>
          <w:color w:val="000000"/>
          <w:sz w:val="32"/>
          <w:szCs w:val="32"/>
        </w:rPr>
      </w:pPr>
      <w:r w:rsidRPr="00217C23">
        <w:rPr>
          <w:rFonts w:ascii="仿宋_GB2312" w:eastAsia="仿宋_GB2312" w:hAnsi="仿宋" w:hint="eastAsia"/>
          <w:color w:val="000000"/>
          <w:sz w:val="32"/>
          <w:szCs w:val="32"/>
        </w:rPr>
        <w:t>本学位</w:t>
      </w:r>
      <w:proofErr w:type="gramStart"/>
      <w:r w:rsidRPr="00217C23">
        <w:rPr>
          <w:rFonts w:ascii="仿宋_GB2312" w:eastAsia="仿宋_GB2312" w:hAnsi="仿宋" w:hint="eastAsia"/>
          <w:color w:val="000000"/>
          <w:sz w:val="32"/>
          <w:szCs w:val="32"/>
        </w:rPr>
        <w:t>点拥有</w:t>
      </w:r>
      <w:proofErr w:type="gramEnd"/>
      <w:r w:rsidRPr="00217C23">
        <w:rPr>
          <w:rFonts w:ascii="仿宋_GB2312" w:eastAsia="仿宋_GB2312" w:hAnsi="仿宋" w:hint="eastAsia"/>
          <w:color w:val="000000"/>
          <w:sz w:val="32"/>
          <w:szCs w:val="32"/>
        </w:rPr>
        <w:t>1个国家植物病虫害防控教学实验中心、1个国家级科研平台和8个省部级科研平台。</w:t>
      </w:r>
    </w:p>
    <w:p w:rsidR="00F66134" w:rsidRDefault="002E7B0E">
      <w:pPr>
        <w:autoSpaceDE w:val="0"/>
        <w:autoSpaceDN w:val="0"/>
        <w:spacing w:line="540" w:lineRule="exact"/>
        <w:jc w:val="center"/>
        <w:rPr>
          <w:rFonts w:ascii="仿宋" w:eastAsia="仿宋" w:hAnsi="仿宋"/>
          <w:color w:val="000000"/>
          <w:sz w:val="32"/>
          <w:szCs w:val="32"/>
        </w:rPr>
      </w:pPr>
      <w:r>
        <w:rPr>
          <w:rFonts w:ascii="仿宋" w:eastAsia="仿宋" w:hAnsi="仿宋"/>
          <w:bCs/>
          <w:sz w:val="32"/>
          <w:szCs w:val="32"/>
        </w:rPr>
        <w:t>表2  科研平台一览表</w:t>
      </w:r>
    </w:p>
    <w:tbl>
      <w:tblPr>
        <w:tblpPr w:leftFromText="180" w:rightFromText="180" w:vertAnchor="text" w:tblpX="28"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8"/>
        <w:gridCol w:w="1615"/>
        <w:gridCol w:w="3686"/>
        <w:gridCol w:w="1276"/>
        <w:gridCol w:w="1417"/>
      </w:tblGrid>
      <w:tr w:rsidR="00F66134">
        <w:trPr>
          <w:trHeight w:val="539"/>
        </w:trPr>
        <w:tc>
          <w:tcPr>
            <w:tcW w:w="648"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序号</w:t>
            </w:r>
          </w:p>
        </w:tc>
        <w:tc>
          <w:tcPr>
            <w:tcW w:w="1615"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类别</w:t>
            </w:r>
          </w:p>
        </w:tc>
        <w:tc>
          <w:tcPr>
            <w:tcW w:w="368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名称</w:t>
            </w:r>
          </w:p>
        </w:tc>
        <w:tc>
          <w:tcPr>
            <w:tcW w:w="127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批准部门</w:t>
            </w:r>
          </w:p>
        </w:tc>
        <w:tc>
          <w:tcPr>
            <w:tcW w:w="1417"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批准时间</w:t>
            </w:r>
          </w:p>
        </w:tc>
      </w:tr>
      <w:tr w:rsidR="00F66134">
        <w:trPr>
          <w:trHeight w:val="539"/>
        </w:trPr>
        <w:tc>
          <w:tcPr>
            <w:tcW w:w="648"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1</w:t>
            </w:r>
          </w:p>
        </w:tc>
        <w:tc>
          <w:tcPr>
            <w:tcW w:w="1615"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国家重点实验室</w:t>
            </w:r>
          </w:p>
        </w:tc>
        <w:tc>
          <w:tcPr>
            <w:tcW w:w="368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省部共建闽台作物有害生物生态防控国家重点实验室</w:t>
            </w:r>
          </w:p>
        </w:tc>
        <w:tc>
          <w:tcPr>
            <w:tcW w:w="127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科技部</w:t>
            </w:r>
          </w:p>
        </w:tc>
        <w:tc>
          <w:tcPr>
            <w:tcW w:w="1417"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20160822</w:t>
            </w:r>
          </w:p>
        </w:tc>
      </w:tr>
      <w:tr w:rsidR="00F66134">
        <w:trPr>
          <w:trHeight w:val="539"/>
        </w:trPr>
        <w:tc>
          <w:tcPr>
            <w:tcW w:w="648" w:type="dxa"/>
            <w:vAlign w:val="center"/>
          </w:tcPr>
          <w:p w:rsidR="00F66134" w:rsidRDefault="002E7B0E">
            <w:pPr>
              <w:pStyle w:val="2"/>
              <w:spacing w:before="0" w:after="0" w:line="540" w:lineRule="exact"/>
              <w:jc w:val="center"/>
              <w:rPr>
                <w:rFonts w:ascii="仿宋" w:eastAsia="仿宋" w:hAnsi="仿宋"/>
                <w:sz w:val="32"/>
                <w:szCs w:val="32"/>
              </w:rPr>
            </w:pPr>
            <w:r>
              <w:rPr>
                <w:rFonts w:ascii="仿宋" w:eastAsia="仿宋" w:hAnsi="仿宋"/>
                <w:sz w:val="32"/>
                <w:szCs w:val="32"/>
              </w:rPr>
              <w:t>2</w:t>
            </w:r>
          </w:p>
        </w:tc>
        <w:tc>
          <w:tcPr>
            <w:tcW w:w="1615"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国际合作联合实验室</w:t>
            </w:r>
          </w:p>
        </w:tc>
        <w:tc>
          <w:tcPr>
            <w:tcW w:w="368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害虫生态防控国际合作联合实验室</w:t>
            </w:r>
          </w:p>
        </w:tc>
        <w:tc>
          <w:tcPr>
            <w:tcW w:w="127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教育部</w:t>
            </w:r>
          </w:p>
        </w:tc>
        <w:tc>
          <w:tcPr>
            <w:tcW w:w="1417"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201709</w:t>
            </w:r>
          </w:p>
        </w:tc>
      </w:tr>
      <w:tr w:rsidR="00F66134">
        <w:trPr>
          <w:trHeight w:val="340"/>
        </w:trPr>
        <w:tc>
          <w:tcPr>
            <w:tcW w:w="648"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lastRenderedPageBreak/>
              <w:t>3</w:t>
            </w:r>
          </w:p>
        </w:tc>
        <w:tc>
          <w:tcPr>
            <w:tcW w:w="1615"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农业部重点实验室</w:t>
            </w:r>
          </w:p>
        </w:tc>
        <w:tc>
          <w:tcPr>
            <w:tcW w:w="368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农业部闽台作物有害生物综合治理重点实验室</w:t>
            </w:r>
          </w:p>
        </w:tc>
        <w:tc>
          <w:tcPr>
            <w:tcW w:w="127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农业部</w:t>
            </w:r>
          </w:p>
        </w:tc>
        <w:tc>
          <w:tcPr>
            <w:tcW w:w="1417"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201111</w:t>
            </w:r>
          </w:p>
        </w:tc>
      </w:tr>
      <w:tr w:rsidR="00F66134">
        <w:trPr>
          <w:trHeight w:val="340"/>
        </w:trPr>
        <w:tc>
          <w:tcPr>
            <w:tcW w:w="648"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4</w:t>
            </w:r>
          </w:p>
        </w:tc>
        <w:tc>
          <w:tcPr>
            <w:tcW w:w="1615"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111引智基地</w:t>
            </w:r>
          </w:p>
        </w:tc>
        <w:tc>
          <w:tcPr>
            <w:tcW w:w="368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亚热带作物害虫生态防控创新引智基地</w:t>
            </w:r>
          </w:p>
        </w:tc>
        <w:tc>
          <w:tcPr>
            <w:tcW w:w="127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国家外国专家局</w:t>
            </w:r>
          </w:p>
        </w:tc>
        <w:tc>
          <w:tcPr>
            <w:tcW w:w="1417"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201608</w:t>
            </w:r>
          </w:p>
        </w:tc>
      </w:tr>
      <w:tr w:rsidR="00F66134">
        <w:trPr>
          <w:trHeight w:val="340"/>
        </w:trPr>
        <w:tc>
          <w:tcPr>
            <w:tcW w:w="648"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5</w:t>
            </w:r>
          </w:p>
        </w:tc>
        <w:tc>
          <w:tcPr>
            <w:tcW w:w="1615"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部级重点实验室</w:t>
            </w:r>
          </w:p>
        </w:tc>
        <w:tc>
          <w:tcPr>
            <w:tcW w:w="368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生物农药与化学生物学教育部重点实验室</w:t>
            </w:r>
          </w:p>
        </w:tc>
        <w:tc>
          <w:tcPr>
            <w:tcW w:w="127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教育部</w:t>
            </w:r>
          </w:p>
        </w:tc>
        <w:tc>
          <w:tcPr>
            <w:tcW w:w="1417"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200311</w:t>
            </w:r>
          </w:p>
        </w:tc>
      </w:tr>
      <w:tr w:rsidR="00F66134">
        <w:trPr>
          <w:trHeight w:val="539"/>
        </w:trPr>
        <w:tc>
          <w:tcPr>
            <w:tcW w:w="648"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6</w:t>
            </w:r>
          </w:p>
        </w:tc>
        <w:tc>
          <w:tcPr>
            <w:tcW w:w="1615"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省部级重点实验室</w:t>
            </w:r>
          </w:p>
        </w:tc>
        <w:tc>
          <w:tcPr>
            <w:tcW w:w="368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福建省植物病毒学重点实验室</w:t>
            </w:r>
          </w:p>
        </w:tc>
        <w:tc>
          <w:tcPr>
            <w:tcW w:w="127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福建省科技厅</w:t>
            </w:r>
          </w:p>
        </w:tc>
        <w:tc>
          <w:tcPr>
            <w:tcW w:w="1417"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199407</w:t>
            </w:r>
          </w:p>
        </w:tc>
      </w:tr>
      <w:tr w:rsidR="00F66134">
        <w:trPr>
          <w:trHeight w:val="539"/>
        </w:trPr>
        <w:tc>
          <w:tcPr>
            <w:tcW w:w="648"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7</w:t>
            </w:r>
          </w:p>
        </w:tc>
        <w:tc>
          <w:tcPr>
            <w:tcW w:w="1615"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省部级重点实验室</w:t>
            </w:r>
          </w:p>
        </w:tc>
        <w:tc>
          <w:tcPr>
            <w:tcW w:w="368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福建省昆虫生态重点实验室</w:t>
            </w:r>
          </w:p>
        </w:tc>
        <w:tc>
          <w:tcPr>
            <w:tcW w:w="127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福建省科技厅</w:t>
            </w:r>
          </w:p>
        </w:tc>
        <w:tc>
          <w:tcPr>
            <w:tcW w:w="1417"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199006</w:t>
            </w:r>
          </w:p>
        </w:tc>
      </w:tr>
      <w:tr w:rsidR="00F66134">
        <w:trPr>
          <w:trHeight w:val="764"/>
        </w:trPr>
        <w:tc>
          <w:tcPr>
            <w:tcW w:w="648"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8</w:t>
            </w:r>
          </w:p>
        </w:tc>
        <w:tc>
          <w:tcPr>
            <w:tcW w:w="1615"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国际合作、闽台交流基地</w:t>
            </w:r>
          </w:p>
        </w:tc>
        <w:tc>
          <w:tcPr>
            <w:tcW w:w="368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闽台作物害虫生态防控国际科技合作基地</w:t>
            </w:r>
          </w:p>
        </w:tc>
        <w:tc>
          <w:tcPr>
            <w:tcW w:w="127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科技部</w:t>
            </w:r>
          </w:p>
        </w:tc>
        <w:tc>
          <w:tcPr>
            <w:tcW w:w="1417"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201610</w:t>
            </w:r>
          </w:p>
        </w:tc>
      </w:tr>
      <w:tr w:rsidR="00F66134">
        <w:trPr>
          <w:trHeight w:val="719"/>
        </w:trPr>
        <w:tc>
          <w:tcPr>
            <w:tcW w:w="648"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9</w:t>
            </w:r>
          </w:p>
        </w:tc>
        <w:tc>
          <w:tcPr>
            <w:tcW w:w="1615"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省高校科研平台</w:t>
            </w:r>
          </w:p>
        </w:tc>
        <w:tc>
          <w:tcPr>
            <w:tcW w:w="368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病毒工程与病原生物学福建省高校重点（开放）实验室</w:t>
            </w:r>
          </w:p>
        </w:tc>
        <w:tc>
          <w:tcPr>
            <w:tcW w:w="1276"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省教育厅</w:t>
            </w:r>
          </w:p>
        </w:tc>
        <w:tc>
          <w:tcPr>
            <w:tcW w:w="1417" w:type="dxa"/>
            <w:vAlign w:val="center"/>
          </w:tcPr>
          <w:p w:rsidR="00F66134" w:rsidRDefault="002E7B0E">
            <w:pPr>
              <w:spacing w:line="540" w:lineRule="exact"/>
              <w:jc w:val="center"/>
              <w:rPr>
                <w:rFonts w:ascii="仿宋" w:eastAsia="仿宋" w:hAnsi="仿宋"/>
                <w:sz w:val="32"/>
                <w:szCs w:val="32"/>
              </w:rPr>
            </w:pPr>
            <w:r>
              <w:rPr>
                <w:rFonts w:ascii="仿宋" w:eastAsia="仿宋" w:hAnsi="仿宋"/>
                <w:sz w:val="32"/>
                <w:szCs w:val="32"/>
              </w:rPr>
              <w:t>200609</w:t>
            </w:r>
          </w:p>
        </w:tc>
      </w:tr>
    </w:tbl>
    <w:p w:rsidR="00F66134" w:rsidRDefault="00F66134">
      <w:pPr>
        <w:autoSpaceDE w:val="0"/>
        <w:autoSpaceDN w:val="0"/>
        <w:spacing w:line="540" w:lineRule="exact"/>
        <w:rPr>
          <w:rFonts w:ascii="仿宋" w:eastAsia="仿宋" w:hAnsi="仿宋"/>
          <w:sz w:val="32"/>
          <w:szCs w:val="32"/>
        </w:rPr>
      </w:pPr>
    </w:p>
    <w:p w:rsidR="00F66134" w:rsidRPr="00217C23" w:rsidRDefault="002E7B0E">
      <w:pPr>
        <w:autoSpaceDE w:val="0"/>
        <w:autoSpaceDN w:val="0"/>
        <w:spacing w:line="540" w:lineRule="exact"/>
        <w:ind w:firstLineChars="200" w:firstLine="640"/>
        <w:rPr>
          <w:rFonts w:ascii="仿宋_GB2312" w:eastAsia="仿宋_GB2312" w:hAnsi="仿宋"/>
          <w:sz w:val="32"/>
          <w:szCs w:val="32"/>
        </w:rPr>
      </w:pPr>
      <w:r w:rsidRPr="00217C23">
        <w:rPr>
          <w:rFonts w:ascii="仿宋_GB2312" w:eastAsia="仿宋_GB2312" w:hAnsi="仿宋" w:hint="eastAsia"/>
          <w:sz w:val="32"/>
          <w:szCs w:val="32"/>
        </w:rPr>
        <w:t>（3）实验室仪器设备</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sz w:val="32"/>
          <w:szCs w:val="32"/>
        </w:rPr>
        <w:t>本学位点不仅平台众多，</w:t>
      </w:r>
      <w:r w:rsidRPr="00217C23">
        <w:rPr>
          <w:rFonts w:ascii="仿宋_GB2312" w:eastAsia="仿宋_GB2312" w:hAnsi="仿宋" w:hint="eastAsia"/>
          <w:color w:val="000000"/>
          <w:sz w:val="32"/>
          <w:szCs w:val="32"/>
        </w:rPr>
        <w:t>实验室</w:t>
      </w:r>
      <w:r w:rsidRPr="00217C23">
        <w:rPr>
          <w:rFonts w:ascii="仿宋_GB2312" w:eastAsia="仿宋_GB2312" w:hAnsi="仿宋" w:hint="eastAsia"/>
          <w:sz w:val="32"/>
          <w:szCs w:val="32"/>
        </w:rPr>
        <w:t>仪器设备也很完善，仪器设备总价值达8832.31万元，实验室总面积达</w:t>
      </w:r>
      <w:r w:rsidRPr="00217C23">
        <w:rPr>
          <w:rFonts w:ascii="仿宋_GB2312" w:eastAsia="仿宋_GB2312" w:hAnsi="仿宋" w:hint="eastAsia"/>
          <w:bCs/>
          <w:sz w:val="32"/>
          <w:szCs w:val="32"/>
        </w:rPr>
        <w:t>8856.89平方米，其中最大的实验室面积达1949.24平方米。</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（4）图书资料</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sz w:val="32"/>
          <w:szCs w:val="32"/>
        </w:rPr>
        <w:t>与本学位点相关的</w:t>
      </w:r>
      <w:r w:rsidRPr="00217C23">
        <w:rPr>
          <w:rFonts w:ascii="仿宋_GB2312" w:eastAsia="仿宋_GB2312" w:hAnsi="仿宋" w:hint="eastAsia"/>
          <w:color w:val="000000"/>
          <w:sz w:val="32"/>
          <w:szCs w:val="32"/>
        </w:rPr>
        <w:t>福建农林大学图书馆</w:t>
      </w:r>
      <w:r w:rsidRPr="00217C23">
        <w:rPr>
          <w:rFonts w:ascii="仿宋_GB2312" w:eastAsia="仿宋_GB2312" w:hAnsi="仿宋" w:hint="eastAsia"/>
          <w:sz w:val="32"/>
          <w:szCs w:val="32"/>
        </w:rPr>
        <w:t>馆藏纸质图书：</w:t>
      </w:r>
      <w:r w:rsidRPr="00217C23">
        <w:rPr>
          <w:rFonts w:ascii="仿宋_GB2312" w:eastAsia="仿宋_GB2312" w:hAnsi="仿宋" w:hint="eastAsia"/>
          <w:bCs/>
          <w:sz w:val="32"/>
          <w:szCs w:val="32"/>
        </w:rPr>
        <w:t>中文藏书约2.8万册，外文藏书约0.13万册，订阅国内外期</w:t>
      </w:r>
      <w:r w:rsidRPr="00217C23">
        <w:rPr>
          <w:rFonts w:ascii="仿宋_GB2312" w:eastAsia="仿宋_GB2312" w:hAnsi="仿宋" w:hint="eastAsia"/>
          <w:bCs/>
          <w:sz w:val="32"/>
          <w:szCs w:val="32"/>
        </w:rPr>
        <w:lastRenderedPageBreak/>
        <w:t>刊约260种，中外文数据库约70多个，电子期刊读物约1700种。</w:t>
      </w:r>
    </w:p>
    <w:p w:rsidR="00F66134" w:rsidRPr="00217C23" w:rsidRDefault="002E7B0E">
      <w:pPr>
        <w:pStyle w:val="1"/>
        <w:spacing w:line="540" w:lineRule="exact"/>
        <w:ind w:left="720" w:firstLineChars="0" w:firstLine="0"/>
        <w:rPr>
          <w:rFonts w:ascii="仿宋_GB2312" w:eastAsia="仿宋_GB2312" w:hAnsi="楷体"/>
          <w:bCs/>
          <w:sz w:val="32"/>
          <w:szCs w:val="32"/>
        </w:rPr>
      </w:pPr>
      <w:r w:rsidRPr="00217C23">
        <w:rPr>
          <w:rFonts w:ascii="仿宋_GB2312" w:eastAsia="仿宋_GB2312" w:hAnsi="楷体" w:hint="eastAsia"/>
          <w:bCs/>
          <w:sz w:val="32"/>
          <w:szCs w:val="32"/>
        </w:rPr>
        <w:t>5.奖助体系</w:t>
      </w:r>
    </w:p>
    <w:p w:rsidR="00F66134" w:rsidRPr="00217C23" w:rsidRDefault="002E7B0E">
      <w:pPr>
        <w:autoSpaceDE w:val="0"/>
        <w:autoSpaceDN w:val="0"/>
        <w:spacing w:line="540" w:lineRule="exact"/>
        <w:ind w:firstLineChars="200" w:firstLine="640"/>
        <w:rPr>
          <w:rFonts w:ascii="仿宋_GB2312" w:eastAsia="仿宋_GB2312" w:hAnsi="仿宋"/>
          <w:sz w:val="32"/>
          <w:szCs w:val="32"/>
        </w:rPr>
      </w:pPr>
      <w:r w:rsidRPr="00217C23">
        <w:rPr>
          <w:rFonts w:ascii="仿宋_GB2312" w:eastAsia="仿宋_GB2312" w:hAnsi="仿宋" w:hint="eastAsia"/>
          <w:sz w:val="32"/>
          <w:szCs w:val="32"/>
        </w:rPr>
        <w:t>本学位点建立了完善的多元化奖助政策体系，通过设立研究生学业奖学金、研究生助学金等制度，提高</w:t>
      </w:r>
      <w:r w:rsidRPr="00217C23">
        <w:rPr>
          <w:rFonts w:ascii="仿宋_GB2312" w:eastAsia="仿宋_GB2312" w:hAnsi="仿宋" w:hint="eastAsia"/>
          <w:color w:val="000000"/>
          <w:sz w:val="32"/>
          <w:szCs w:val="32"/>
        </w:rPr>
        <w:t>研究生</w:t>
      </w:r>
      <w:r w:rsidRPr="00217C23">
        <w:rPr>
          <w:rFonts w:ascii="仿宋_GB2312" w:eastAsia="仿宋_GB2312" w:hAnsi="仿宋" w:hint="eastAsia"/>
          <w:sz w:val="32"/>
          <w:szCs w:val="32"/>
        </w:rPr>
        <w:t>待遇和培养质量。本学位点2021年共发放奖学金226万元，覆盖学生数为303人；发放助学金214.20万元，覆盖学生数为117人；发放研究生助研酬金15.48万元，覆盖学生数为86人。</w:t>
      </w:r>
    </w:p>
    <w:p w:rsidR="00F66134" w:rsidRPr="00217C23" w:rsidRDefault="00F66134">
      <w:pPr>
        <w:autoSpaceDE w:val="0"/>
        <w:autoSpaceDN w:val="0"/>
        <w:spacing w:line="540" w:lineRule="exact"/>
        <w:ind w:firstLineChars="200" w:firstLine="640"/>
        <w:rPr>
          <w:rFonts w:ascii="仿宋_GB2312" w:eastAsia="仿宋_GB2312" w:hAnsi="仿宋"/>
          <w:sz w:val="32"/>
          <w:szCs w:val="32"/>
        </w:rPr>
      </w:pPr>
    </w:p>
    <w:p w:rsidR="00F66134" w:rsidRDefault="002E7B0E">
      <w:pPr>
        <w:autoSpaceDE w:val="0"/>
        <w:autoSpaceDN w:val="0"/>
        <w:spacing w:line="540" w:lineRule="exact"/>
        <w:jc w:val="center"/>
        <w:rPr>
          <w:rFonts w:ascii="仿宋" w:eastAsia="仿宋" w:hAnsi="仿宋"/>
          <w:sz w:val="32"/>
          <w:szCs w:val="32"/>
        </w:rPr>
      </w:pPr>
      <w:r>
        <w:rPr>
          <w:rFonts w:ascii="仿宋" w:eastAsia="仿宋" w:hAnsi="仿宋"/>
          <w:sz w:val="32"/>
          <w:szCs w:val="32"/>
        </w:rPr>
        <w:t>表3  研究生奖助贷发放情况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85"/>
        <w:gridCol w:w="1418"/>
        <w:gridCol w:w="1276"/>
      </w:tblGrid>
      <w:tr w:rsidR="00F66134">
        <w:trPr>
          <w:trHeight w:val="300"/>
        </w:trPr>
        <w:tc>
          <w:tcPr>
            <w:tcW w:w="1980" w:type="dxa"/>
            <w:shd w:val="clear" w:color="auto" w:fill="auto"/>
            <w:vAlign w:val="center"/>
          </w:tcPr>
          <w:p w:rsidR="00F66134" w:rsidRDefault="002E7B0E">
            <w:pPr>
              <w:widowControl/>
              <w:spacing w:line="540" w:lineRule="exact"/>
              <w:jc w:val="center"/>
              <w:rPr>
                <w:rFonts w:ascii="仿宋" w:eastAsia="仿宋" w:hAnsi="仿宋"/>
                <w:bCs/>
                <w:color w:val="000000"/>
                <w:kern w:val="0"/>
                <w:sz w:val="32"/>
                <w:szCs w:val="32"/>
              </w:rPr>
            </w:pPr>
            <w:r>
              <w:rPr>
                <w:rFonts w:ascii="仿宋" w:eastAsia="仿宋" w:hAnsi="仿宋"/>
                <w:bCs/>
                <w:color w:val="000000"/>
                <w:kern w:val="0"/>
                <w:sz w:val="32"/>
                <w:szCs w:val="32"/>
              </w:rPr>
              <w:t>项目名称</w:t>
            </w:r>
          </w:p>
        </w:tc>
        <w:tc>
          <w:tcPr>
            <w:tcW w:w="3685" w:type="dxa"/>
            <w:shd w:val="clear" w:color="auto" w:fill="auto"/>
            <w:vAlign w:val="center"/>
          </w:tcPr>
          <w:p w:rsidR="00F66134" w:rsidRDefault="002E7B0E">
            <w:pPr>
              <w:widowControl/>
              <w:spacing w:line="540" w:lineRule="exact"/>
              <w:jc w:val="center"/>
              <w:rPr>
                <w:rFonts w:ascii="仿宋" w:eastAsia="仿宋" w:hAnsi="仿宋"/>
                <w:bCs/>
                <w:color w:val="000000"/>
                <w:kern w:val="0"/>
                <w:sz w:val="32"/>
                <w:szCs w:val="32"/>
              </w:rPr>
            </w:pPr>
            <w:r>
              <w:rPr>
                <w:rFonts w:ascii="仿宋" w:eastAsia="仿宋" w:hAnsi="仿宋"/>
                <w:bCs/>
                <w:color w:val="000000"/>
                <w:kern w:val="0"/>
                <w:sz w:val="32"/>
                <w:szCs w:val="32"/>
              </w:rPr>
              <w:t>资助类型</w:t>
            </w:r>
          </w:p>
        </w:tc>
        <w:tc>
          <w:tcPr>
            <w:tcW w:w="1418" w:type="dxa"/>
            <w:shd w:val="clear" w:color="auto" w:fill="auto"/>
            <w:vAlign w:val="center"/>
          </w:tcPr>
          <w:p w:rsidR="00F66134" w:rsidRDefault="002E7B0E">
            <w:pPr>
              <w:widowControl/>
              <w:spacing w:line="540" w:lineRule="exact"/>
              <w:jc w:val="center"/>
              <w:rPr>
                <w:rFonts w:ascii="仿宋" w:eastAsia="仿宋" w:hAnsi="仿宋"/>
                <w:bCs/>
                <w:color w:val="000000"/>
                <w:kern w:val="0"/>
                <w:sz w:val="32"/>
                <w:szCs w:val="32"/>
              </w:rPr>
            </w:pPr>
            <w:r>
              <w:rPr>
                <w:rFonts w:ascii="仿宋" w:eastAsia="仿宋" w:hAnsi="仿宋"/>
                <w:bCs/>
                <w:color w:val="000000"/>
                <w:kern w:val="0"/>
                <w:sz w:val="32"/>
                <w:szCs w:val="32"/>
              </w:rPr>
              <w:t>总金额</w:t>
            </w:r>
          </w:p>
          <w:p w:rsidR="00F66134" w:rsidRDefault="002E7B0E">
            <w:pPr>
              <w:widowControl/>
              <w:spacing w:line="540" w:lineRule="exact"/>
              <w:jc w:val="center"/>
              <w:rPr>
                <w:rFonts w:ascii="仿宋" w:eastAsia="仿宋" w:hAnsi="仿宋"/>
                <w:bCs/>
                <w:color w:val="000000"/>
                <w:kern w:val="0"/>
                <w:sz w:val="32"/>
                <w:szCs w:val="32"/>
              </w:rPr>
            </w:pPr>
            <w:r>
              <w:rPr>
                <w:rFonts w:ascii="仿宋" w:eastAsia="仿宋" w:hAnsi="仿宋"/>
                <w:bCs/>
                <w:color w:val="000000"/>
                <w:kern w:val="0"/>
                <w:sz w:val="32"/>
                <w:szCs w:val="32"/>
              </w:rPr>
              <w:t>（万元）</w:t>
            </w:r>
          </w:p>
        </w:tc>
        <w:tc>
          <w:tcPr>
            <w:tcW w:w="1276" w:type="dxa"/>
            <w:shd w:val="clear" w:color="auto" w:fill="auto"/>
            <w:vAlign w:val="center"/>
          </w:tcPr>
          <w:p w:rsidR="00F66134" w:rsidRDefault="002E7B0E">
            <w:pPr>
              <w:widowControl/>
              <w:spacing w:line="540" w:lineRule="exact"/>
              <w:jc w:val="center"/>
              <w:rPr>
                <w:rFonts w:ascii="仿宋" w:eastAsia="仿宋" w:hAnsi="仿宋"/>
                <w:bCs/>
                <w:color w:val="000000"/>
                <w:kern w:val="0"/>
                <w:sz w:val="32"/>
                <w:szCs w:val="32"/>
              </w:rPr>
            </w:pPr>
            <w:r>
              <w:rPr>
                <w:rFonts w:ascii="仿宋" w:eastAsia="仿宋" w:hAnsi="仿宋"/>
                <w:bCs/>
                <w:color w:val="000000"/>
                <w:kern w:val="0"/>
                <w:sz w:val="32"/>
                <w:szCs w:val="32"/>
              </w:rPr>
              <w:t>资助学学生数</w:t>
            </w:r>
          </w:p>
        </w:tc>
      </w:tr>
      <w:tr w:rsidR="00F66134">
        <w:trPr>
          <w:trHeight w:val="776"/>
        </w:trPr>
        <w:tc>
          <w:tcPr>
            <w:tcW w:w="1980" w:type="dxa"/>
            <w:shd w:val="clear" w:color="auto" w:fill="auto"/>
            <w:vAlign w:val="center"/>
          </w:tcPr>
          <w:p w:rsidR="00F66134" w:rsidRDefault="002E7B0E">
            <w:pPr>
              <w:widowControl/>
              <w:spacing w:line="540" w:lineRule="exact"/>
              <w:jc w:val="center"/>
              <w:rPr>
                <w:rFonts w:ascii="仿宋" w:eastAsia="仿宋" w:hAnsi="仿宋"/>
                <w:color w:val="000000"/>
                <w:kern w:val="0"/>
                <w:sz w:val="32"/>
                <w:szCs w:val="32"/>
              </w:rPr>
            </w:pPr>
            <w:r>
              <w:rPr>
                <w:rFonts w:ascii="仿宋" w:eastAsia="仿宋" w:hAnsi="仿宋"/>
                <w:color w:val="000000"/>
                <w:kern w:val="0"/>
                <w:sz w:val="32"/>
                <w:szCs w:val="32"/>
              </w:rPr>
              <w:t>学业奖学金</w:t>
            </w:r>
          </w:p>
        </w:tc>
        <w:tc>
          <w:tcPr>
            <w:tcW w:w="3685" w:type="dxa"/>
            <w:shd w:val="clear" w:color="auto" w:fill="auto"/>
            <w:vAlign w:val="center"/>
          </w:tcPr>
          <w:p w:rsidR="00F66134" w:rsidRDefault="002E7B0E">
            <w:pPr>
              <w:widowControl/>
              <w:spacing w:line="540" w:lineRule="exact"/>
              <w:jc w:val="left"/>
              <w:rPr>
                <w:rFonts w:ascii="仿宋" w:eastAsia="仿宋" w:hAnsi="仿宋"/>
                <w:color w:val="000000"/>
                <w:kern w:val="0"/>
                <w:sz w:val="32"/>
                <w:szCs w:val="32"/>
              </w:rPr>
            </w:pPr>
            <w:r>
              <w:rPr>
                <w:rFonts w:ascii="仿宋" w:eastAsia="仿宋" w:hAnsi="仿宋"/>
                <w:color w:val="000000"/>
                <w:kern w:val="0"/>
                <w:sz w:val="32"/>
                <w:szCs w:val="32"/>
              </w:rPr>
              <w:t>2021年研究生学业奖学金</w:t>
            </w:r>
          </w:p>
        </w:tc>
        <w:tc>
          <w:tcPr>
            <w:tcW w:w="1418" w:type="dxa"/>
            <w:shd w:val="clear" w:color="auto" w:fill="auto"/>
            <w:vAlign w:val="center"/>
          </w:tcPr>
          <w:p w:rsidR="00F66134" w:rsidRDefault="002E7B0E">
            <w:pPr>
              <w:widowControl/>
              <w:spacing w:line="540" w:lineRule="exact"/>
              <w:jc w:val="center"/>
              <w:rPr>
                <w:rFonts w:ascii="仿宋" w:eastAsia="仿宋" w:hAnsi="仿宋"/>
                <w:color w:val="000000"/>
                <w:kern w:val="0"/>
                <w:sz w:val="32"/>
                <w:szCs w:val="32"/>
              </w:rPr>
            </w:pPr>
            <w:r>
              <w:rPr>
                <w:rFonts w:ascii="仿宋" w:eastAsia="仿宋" w:hAnsi="仿宋"/>
                <w:color w:val="000000"/>
                <w:sz w:val="32"/>
                <w:szCs w:val="32"/>
              </w:rPr>
              <w:t>184.60</w:t>
            </w:r>
          </w:p>
        </w:tc>
        <w:tc>
          <w:tcPr>
            <w:tcW w:w="1276" w:type="dxa"/>
            <w:shd w:val="clear" w:color="auto" w:fill="auto"/>
            <w:vAlign w:val="center"/>
          </w:tcPr>
          <w:p w:rsidR="00F66134" w:rsidRDefault="002E7B0E">
            <w:pPr>
              <w:widowControl/>
              <w:spacing w:line="540" w:lineRule="exact"/>
              <w:jc w:val="center"/>
              <w:rPr>
                <w:rFonts w:ascii="仿宋" w:eastAsia="仿宋" w:hAnsi="仿宋"/>
                <w:color w:val="000000"/>
                <w:kern w:val="0"/>
                <w:sz w:val="32"/>
                <w:szCs w:val="32"/>
              </w:rPr>
            </w:pPr>
            <w:r>
              <w:rPr>
                <w:rFonts w:ascii="仿宋" w:eastAsia="仿宋" w:hAnsi="仿宋"/>
                <w:color w:val="000000"/>
                <w:sz w:val="32"/>
                <w:szCs w:val="32"/>
              </w:rPr>
              <w:t>245</w:t>
            </w:r>
          </w:p>
        </w:tc>
      </w:tr>
      <w:tr w:rsidR="00F66134">
        <w:trPr>
          <w:trHeight w:val="300"/>
        </w:trPr>
        <w:tc>
          <w:tcPr>
            <w:tcW w:w="1980" w:type="dxa"/>
            <w:shd w:val="clear" w:color="auto" w:fill="auto"/>
            <w:vAlign w:val="center"/>
          </w:tcPr>
          <w:p w:rsidR="00F66134" w:rsidRDefault="002E7B0E">
            <w:pPr>
              <w:widowControl/>
              <w:spacing w:line="540" w:lineRule="exact"/>
              <w:jc w:val="center"/>
              <w:rPr>
                <w:rFonts w:ascii="仿宋" w:eastAsia="仿宋" w:hAnsi="仿宋"/>
                <w:color w:val="000000"/>
                <w:kern w:val="0"/>
                <w:sz w:val="32"/>
                <w:szCs w:val="32"/>
              </w:rPr>
            </w:pPr>
            <w:r>
              <w:rPr>
                <w:rFonts w:ascii="仿宋" w:eastAsia="仿宋" w:hAnsi="仿宋"/>
                <w:color w:val="000000"/>
                <w:kern w:val="0"/>
                <w:sz w:val="32"/>
                <w:szCs w:val="32"/>
              </w:rPr>
              <w:t>国家奖学金</w:t>
            </w:r>
          </w:p>
        </w:tc>
        <w:tc>
          <w:tcPr>
            <w:tcW w:w="3685" w:type="dxa"/>
            <w:shd w:val="clear" w:color="auto" w:fill="auto"/>
            <w:vAlign w:val="center"/>
          </w:tcPr>
          <w:p w:rsidR="00F66134" w:rsidRDefault="002E7B0E">
            <w:pPr>
              <w:widowControl/>
              <w:spacing w:line="540" w:lineRule="exact"/>
              <w:jc w:val="left"/>
              <w:rPr>
                <w:rFonts w:ascii="仿宋" w:eastAsia="仿宋" w:hAnsi="仿宋"/>
                <w:color w:val="000000"/>
                <w:kern w:val="0"/>
                <w:sz w:val="32"/>
                <w:szCs w:val="32"/>
              </w:rPr>
            </w:pPr>
            <w:r>
              <w:rPr>
                <w:rFonts w:ascii="仿宋" w:eastAsia="仿宋" w:hAnsi="仿宋"/>
                <w:color w:val="000000"/>
                <w:kern w:val="0"/>
                <w:sz w:val="32"/>
                <w:szCs w:val="32"/>
              </w:rPr>
              <w:t>2021年国家奖学金</w:t>
            </w:r>
          </w:p>
        </w:tc>
        <w:tc>
          <w:tcPr>
            <w:tcW w:w="1418" w:type="dxa"/>
            <w:shd w:val="clear" w:color="auto" w:fill="auto"/>
            <w:vAlign w:val="center"/>
          </w:tcPr>
          <w:p w:rsidR="00F66134" w:rsidRDefault="002E7B0E">
            <w:pPr>
              <w:widowControl/>
              <w:spacing w:line="540" w:lineRule="exact"/>
              <w:jc w:val="center"/>
              <w:rPr>
                <w:rFonts w:ascii="仿宋" w:eastAsia="仿宋" w:hAnsi="仿宋"/>
                <w:color w:val="000000"/>
                <w:kern w:val="0"/>
                <w:sz w:val="32"/>
                <w:szCs w:val="32"/>
              </w:rPr>
            </w:pPr>
            <w:r>
              <w:rPr>
                <w:rFonts w:ascii="仿宋" w:eastAsia="仿宋" w:hAnsi="仿宋"/>
                <w:color w:val="000000"/>
                <w:kern w:val="0"/>
                <w:sz w:val="32"/>
                <w:szCs w:val="32"/>
              </w:rPr>
              <w:t>26.00</w:t>
            </w:r>
          </w:p>
        </w:tc>
        <w:tc>
          <w:tcPr>
            <w:tcW w:w="1276" w:type="dxa"/>
            <w:shd w:val="clear" w:color="auto" w:fill="auto"/>
            <w:vAlign w:val="center"/>
          </w:tcPr>
          <w:p w:rsidR="00F66134" w:rsidRDefault="002E7B0E">
            <w:pPr>
              <w:widowControl/>
              <w:spacing w:line="540" w:lineRule="exact"/>
              <w:jc w:val="center"/>
              <w:rPr>
                <w:rFonts w:ascii="仿宋" w:eastAsia="仿宋" w:hAnsi="仿宋"/>
                <w:color w:val="000000"/>
                <w:kern w:val="0"/>
                <w:sz w:val="32"/>
                <w:szCs w:val="32"/>
              </w:rPr>
            </w:pPr>
            <w:r>
              <w:rPr>
                <w:rFonts w:ascii="仿宋" w:eastAsia="仿宋" w:hAnsi="仿宋"/>
                <w:color w:val="000000"/>
                <w:kern w:val="0"/>
                <w:sz w:val="32"/>
                <w:szCs w:val="32"/>
              </w:rPr>
              <w:t>11</w:t>
            </w:r>
          </w:p>
        </w:tc>
      </w:tr>
      <w:tr w:rsidR="00F66134">
        <w:trPr>
          <w:trHeight w:val="652"/>
        </w:trPr>
        <w:tc>
          <w:tcPr>
            <w:tcW w:w="1980" w:type="dxa"/>
            <w:shd w:val="clear" w:color="auto" w:fill="auto"/>
            <w:vAlign w:val="center"/>
          </w:tcPr>
          <w:p w:rsidR="00F66134" w:rsidRDefault="002E7B0E">
            <w:pPr>
              <w:widowControl/>
              <w:spacing w:line="540" w:lineRule="exact"/>
              <w:jc w:val="center"/>
              <w:rPr>
                <w:rFonts w:ascii="仿宋" w:eastAsia="仿宋" w:hAnsi="仿宋"/>
                <w:color w:val="000000"/>
                <w:kern w:val="0"/>
                <w:sz w:val="32"/>
                <w:szCs w:val="32"/>
              </w:rPr>
            </w:pPr>
            <w:r>
              <w:rPr>
                <w:rFonts w:ascii="仿宋" w:eastAsia="仿宋" w:hAnsi="仿宋"/>
                <w:color w:val="000000"/>
                <w:kern w:val="0"/>
                <w:sz w:val="32"/>
                <w:szCs w:val="32"/>
              </w:rPr>
              <w:t>国家助学金</w:t>
            </w:r>
          </w:p>
        </w:tc>
        <w:tc>
          <w:tcPr>
            <w:tcW w:w="3685" w:type="dxa"/>
            <w:shd w:val="clear" w:color="auto" w:fill="auto"/>
            <w:vAlign w:val="center"/>
          </w:tcPr>
          <w:p w:rsidR="00F66134" w:rsidRDefault="002E7B0E">
            <w:pPr>
              <w:spacing w:line="540" w:lineRule="exact"/>
              <w:jc w:val="left"/>
              <w:rPr>
                <w:rFonts w:ascii="仿宋" w:eastAsia="仿宋" w:hAnsi="仿宋"/>
                <w:color w:val="000000"/>
                <w:kern w:val="0"/>
                <w:sz w:val="32"/>
                <w:szCs w:val="32"/>
              </w:rPr>
            </w:pPr>
            <w:r>
              <w:rPr>
                <w:rFonts w:ascii="仿宋" w:eastAsia="仿宋" w:hAnsi="仿宋"/>
                <w:color w:val="000000"/>
                <w:kern w:val="0"/>
                <w:sz w:val="32"/>
                <w:szCs w:val="32"/>
              </w:rPr>
              <w:t>博士研究生</w:t>
            </w:r>
          </w:p>
        </w:tc>
        <w:tc>
          <w:tcPr>
            <w:tcW w:w="1418" w:type="dxa"/>
            <w:shd w:val="clear" w:color="auto" w:fill="auto"/>
            <w:vAlign w:val="center"/>
          </w:tcPr>
          <w:p w:rsidR="00F66134" w:rsidRDefault="002E7B0E">
            <w:pPr>
              <w:spacing w:line="540" w:lineRule="exact"/>
              <w:jc w:val="center"/>
              <w:rPr>
                <w:rFonts w:ascii="仿宋" w:eastAsia="仿宋" w:hAnsi="仿宋"/>
                <w:color w:val="000000"/>
                <w:kern w:val="0"/>
                <w:sz w:val="32"/>
                <w:szCs w:val="32"/>
              </w:rPr>
            </w:pPr>
            <w:r>
              <w:rPr>
                <w:rFonts w:ascii="仿宋" w:eastAsia="仿宋" w:hAnsi="仿宋"/>
                <w:color w:val="000000"/>
                <w:kern w:val="0"/>
                <w:sz w:val="32"/>
                <w:szCs w:val="32"/>
              </w:rPr>
              <w:t>211.20</w:t>
            </w:r>
          </w:p>
        </w:tc>
        <w:tc>
          <w:tcPr>
            <w:tcW w:w="1276" w:type="dxa"/>
            <w:shd w:val="clear" w:color="auto" w:fill="auto"/>
            <w:vAlign w:val="center"/>
          </w:tcPr>
          <w:p w:rsidR="00F66134" w:rsidRDefault="002E7B0E">
            <w:pPr>
              <w:spacing w:line="540" w:lineRule="exact"/>
              <w:jc w:val="center"/>
              <w:rPr>
                <w:rFonts w:ascii="仿宋" w:eastAsia="仿宋" w:hAnsi="仿宋"/>
                <w:color w:val="000000"/>
                <w:kern w:val="0"/>
                <w:sz w:val="32"/>
                <w:szCs w:val="32"/>
              </w:rPr>
            </w:pPr>
            <w:r>
              <w:rPr>
                <w:rFonts w:ascii="仿宋" w:eastAsia="仿宋" w:hAnsi="仿宋"/>
                <w:color w:val="000000"/>
                <w:kern w:val="0"/>
                <w:sz w:val="32"/>
                <w:szCs w:val="32"/>
              </w:rPr>
              <w:t>111</w:t>
            </w:r>
          </w:p>
        </w:tc>
      </w:tr>
      <w:tr w:rsidR="00F66134">
        <w:trPr>
          <w:trHeight w:val="300"/>
        </w:trPr>
        <w:tc>
          <w:tcPr>
            <w:tcW w:w="1980" w:type="dxa"/>
            <w:shd w:val="clear" w:color="auto" w:fill="auto"/>
            <w:vAlign w:val="center"/>
          </w:tcPr>
          <w:p w:rsidR="00F66134" w:rsidRDefault="002E7B0E">
            <w:pPr>
              <w:widowControl/>
              <w:spacing w:line="540" w:lineRule="exact"/>
              <w:jc w:val="center"/>
              <w:rPr>
                <w:rFonts w:ascii="仿宋" w:eastAsia="仿宋" w:hAnsi="仿宋"/>
                <w:color w:val="000000"/>
                <w:kern w:val="0"/>
                <w:sz w:val="32"/>
                <w:szCs w:val="32"/>
              </w:rPr>
            </w:pPr>
            <w:proofErr w:type="gramStart"/>
            <w:r>
              <w:rPr>
                <w:rFonts w:ascii="仿宋" w:eastAsia="仿宋" w:hAnsi="仿宋"/>
                <w:color w:val="000000"/>
                <w:kern w:val="0"/>
                <w:sz w:val="32"/>
                <w:szCs w:val="32"/>
              </w:rPr>
              <w:t>社会奖</w:t>
            </w:r>
            <w:proofErr w:type="gramEnd"/>
            <w:r>
              <w:rPr>
                <w:rFonts w:ascii="仿宋" w:eastAsia="仿宋" w:hAnsi="仿宋"/>
                <w:color w:val="000000"/>
                <w:kern w:val="0"/>
                <w:sz w:val="32"/>
                <w:szCs w:val="32"/>
              </w:rPr>
              <w:t>助学金</w:t>
            </w:r>
          </w:p>
        </w:tc>
        <w:tc>
          <w:tcPr>
            <w:tcW w:w="3685" w:type="dxa"/>
            <w:shd w:val="clear" w:color="auto" w:fill="auto"/>
            <w:vAlign w:val="center"/>
          </w:tcPr>
          <w:p w:rsidR="00F66134" w:rsidRDefault="002E7B0E">
            <w:pPr>
              <w:widowControl/>
              <w:spacing w:line="540" w:lineRule="exact"/>
              <w:jc w:val="left"/>
              <w:rPr>
                <w:rFonts w:ascii="仿宋" w:eastAsia="仿宋" w:hAnsi="仿宋"/>
                <w:color w:val="000000"/>
                <w:kern w:val="0"/>
                <w:sz w:val="32"/>
                <w:szCs w:val="32"/>
              </w:rPr>
            </w:pPr>
            <w:r>
              <w:rPr>
                <w:rFonts w:ascii="仿宋" w:eastAsia="仿宋" w:hAnsi="仿宋"/>
                <w:color w:val="000000"/>
                <w:kern w:val="0"/>
                <w:sz w:val="32"/>
                <w:szCs w:val="32"/>
              </w:rPr>
              <w:t>泰京农业与生命科学奖学金</w:t>
            </w:r>
          </w:p>
        </w:tc>
        <w:tc>
          <w:tcPr>
            <w:tcW w:w="1418" w:type="dxa"/>
            <w:shd w:val="clear" w:color="auto" w:fill="auto"/>
            <w:vAlign w:val="center"/>
          </w:tcPr>
          <w:p w:rsidR="00F66134" w:rsidRDefault="002E7B0E">
            <w:pPr>
              <w:widowControl/>
              <w:spacing w:line="540" w:lineRule="exact"/>
              <w:jc w:val="center"/>
              <w:rPr>
                <w:rFonts w:ascii="仿宋" w:eastAsia="仿宋" w:hAnsi="仿宋"/>
                <w:color w:val="000000"/>
                <w:kern w:val="0"/>
                <w:sz w:val="32"/>
                <w:szCs w:val="32"/>
              </w:rPr>
            </w:pPr>
            <w:r>
              <w:rPr>
                <w:rFonts w:ascii="仿宋" w:eastAsia="仿宋" w:hAnsi="仿宋"/>
                <w:color w:val="000000"/>
                <w:kern w:val="0"/>
                <w:sz w:val="32"/>
                <w:szCs w:val="32"/>
              </w:rPr>
              <w:t>3.00</w:t>
            </w:r>
          </w:p>
        </w:tc>
        <w:tc>
          <w:tcPr>
            <w:tcW w:w="1276" w:type="dxa"/>
            <w:shd w:val="clear" w:color="auto" w:fill="auto"/>
            <w:vAlign w:val="center"/>
          </w:tcPr>
          <w:p w:rsidR="00F66134" w:rsidRDefault="002E7B0E">
            <w:pPr>
              <w:widowControl/>
              <w:spacing w:line="540" w:lineRule="exact"/>
              <w:jc w:val="center"/>
              <w:rPr>
                <w:rFonts w:ascii="仿宋" w:eastAsia="仿宋" w:hAnsi="仿宋"/>
                <w:color w:val="000000"/>
                <w:kern w:val="0"/>
                <w:sz w:val="32"/>
                <w:szCs w:val="32"/>
              </w:rPr>
            </w:pPr>
            <w:r>
              <w:rPr>
                <w:rFonts w:ascii="仿宋" w:eastAsia="仿宋" w:hAnsi="仿宋"/>
                <w:color w:val="000000"/>
                <w:kern w:val="0"/>
                <w:sz w:val="32"/>
                <w:szCs w:val="32"/>
              </w:rPr>
              <w:t>6</w:t>
            </w:r>
          </w:p>
        </w:tc>
      </w:tr>
      <w:tr w:rsidR="00F66134">
        <w:trPr>
          <w:trHeight w:val="300"/>
        </w:trPr>
        <w:tc>
          <w:tcPr>
            <w:tcW w:w="1980" w:type="dxa"/>
            <w:shd w:val="clear" w:color="auto" w:fill="auto"/>
            <w:vAlign w:val="center"/>
          </w:tcPr>
          <w:p w:rsidR="00F66134" w:rsidRDefault="002E7B0E">
            <w:pPr>
              <w:widowControl/>
              <w:spacing w:line="540" w:lineRule="exact"/>
              <w:jc w:val="center"/>
              <w:rPr>
                <w:rFonts w:ascii="仿宋" w:eastAsia="仿宋" w:hAnsi="仿宋"/>
                <w:color w:val="000000"/>
                <w:kern w:val="0"/>
                <w:sz w:val="32"/>
                <w:szCs w:val="32"/>
              </w:rPr>
            </w:pPr>
            <w:r>
              <w:rPr>
                <w:rFonts w:ascii="仿宋" w:eastAsia="仿宋" w:hAnsi="仿宋"/>
                <w:color w:val="000000"/>
                <w:kern w:val="0"/>
                <w:sz w:val="32"/>
                <w:szCs w:val="32"/>
              </w:rPr>
              <w:t>助研</w:t>
            </w:r>
          </w:p>
        </w:tc>
        <w:tc>
          <w:tcPr>
            <w:tcW w:w="3685" w:type="dxa"/>
            <w:shd w:val="clear" w:color="auto" w:fill="auto"/>
            <w:vAlign w:val="center"/>
          </w:tcPr>
          <w:p w:rsidR="00F66134" w:rsidRDefault="002E7B0E">
            <w:pPr>
              <w:widowControl/>
              <w:spacing w:line="540" w:lineRule="exact"/>
              <w:jc w:val="left"/>
              <w:rPr>
                <w:rFonts w:ascii="仿宋" w:eastAsia="仿宋" w:hAnsi="仿宋"/>
                <w:color w:val="000000"/>
                <w:kern w:val="0"/>
                <w:sz w:val="32"/>
                <w:szCs w:val="32"/>
              </w:rPr>
            </w:pPr>
            <w:r>
              <w:rPr>
                <w:rFonts w:ascii="仿宋" w:eastAsia="仿宋" w:hAnsi="仿宋"/>
                <w:color w:val="000000"/>
                <w:kern w:val="0"/>
                <w:sz w:val="32"/>
                <w:szCs w:val="32"/>
              </w:rPr>
              <w:t>研究生助研酬金</w:t>
            </w:r>
          </w:p>
        </w:tc>
        <w:tc>
          <w:tcPr>
            <w:tcW w:w="1418" w:type="dxa"/>
            <w:shd w:val="clear" w:color="auto" w:fill="auto"/>
            <w:vAlign w:val="center"/>
          </w:tcPr>
          <w:p w:rsidR="00F66134" w:rsidRDefault="002E7B0E">
            <w:pPr>
              <w:widowControl/>
              <w:spacing w:line="540" w:lineRule="exact"/>
              <w:jc w:val="center"/>
              <w:rPr>
                <w:rFonts w:ascii="仿宋" w:eastAsia="仿宋" w:hAnsi="仿宋"/>
                <w:color w:val="000000"/>
                <w:kern w:val="0"/>
                <w:sz w:val="32"/>
                <w:szCs w:val="32"/>
              </w:rPr>
            </w:pPr>
            <w:r>
              <w:rPr>
                <w:rFonts w:ascii="仿宋" w:eastAsia="仿宋" w:hAnsi="仿宋"/>
                <w:color w:val="000000"/>
                <w:kern w:val="0"/>
                <w:sz w:val="32"/>
                <w:szCs w:val="32"/>
              </w:rPr>
              <w:t>15.48</w:t>
            </w:r>
          </w:p>
        </w:tc>
        <w:tc>
          <w:tcPr>
            <w:tcW w:w="1276" w:type="dxa"/>
            <w:shd w:val="clear" w:color="auto" w:fill="auto"/>
            <w:vAlign w:val="center"/>
          </w:tcPr>
          <w:p w:rsidR="00F66134" w:rsidRDefault="002E7B0E">
            <w:pPr>
              <w:widowControl/>
              <w:spacing w:line="540" w:lineRule="exact"/>
              <w:jc w:val="center"/>
              <w:rPr>
                <w:rFonts w:ascii="仿宋" w:eastAsia="仿宋" w:hAnsi="仿宋"/>
                <w:color w:val="000000"/>
                <w:kern w:val="0"/>
                <w:sz w:val="32"/>
                <w:szCs w:val="32"/>
              </w:rPr>
            </w:pPr>
            <w:r>
              <w:rPr>
                <w:rFonts w:ascii="仿宋" w:eastAsia="仿宋" w:hAnsi="仿宋"/>
                <w:color w:val="000000"/>
                <w:kern w:val="0"/>
                <w:sz w:val="32"/>
                <w:szCs w:val="32"/>
              </w:rPr>
              <w:t>86</w:t>
            </w:r>
          </w:p>
        </w:tc>
      </w:tr>
    </w:tbl>
    <w:p w:rsidR="00F66134" w:rsidRDefault="00F66134">
      <w:pPr>
        <w:spacing w:line="540" w:lineRule="exact"/>
        <w:rPr>
          <w:rFonts w:ascii="仿宋" w:eastAsia="仿宋" w:hAnsi="仿宋"/>
          <w:sz w:val="32"/>
          <w:szCs w:val="32"/>
        </w:rPr>
      </w:pPr>
    </w:p>
    <w:p w:rsidR="00F66134" w:rsidRPr="00217C23" w:rsidRDefault="002E7B0E">
      <w:pPr>
        <w:pStyle w:val="1"/>
        <w:spacing w:line="540" w:lineRule="exact"/>
        <w:ind w:left="720" w:firstLineChars="0" w:firstLine="0"/>
        <w:rPr>
          <w:rFonts w:ascii="仿宋_GB2312" w:eastAsia="仿宋_GB2312" w:hAnsi="楷体"/>
          <w:bCs/>
          <w:sz w:val="32"/>
          <w:szCs w:val="32"/>
        </w:rPr>
      </w:pPr>
      <w:r w:rsidRPr="00217C23">
        <w:rPr>
          <w:rFonts w:ascii="仿宋_GB2312" w:eastAsia="仿宋_GB2312" w:hAnsi="楷体" w:hint="eastAsia"/>
          <w:bCs/>
          <w:sz w:val="32"/>
          <w:szCs w:val="32"/>
        </w:rPr>
        <w:t>6.管理服务</w:t>
      </w:r>
    </w:p>
    <w:p w:rsidR="00F66134" w:rsidRPr="00217C23" w:rsidRDefault="002E7B0E">
      <w:pPr>
        <w:autoSpaceDE w:val="0"/>
        <w:autoSpaceDN w:val="0"/>
        <w:spacing w:line="540" w:lineRule="exact"/>
        <w:ind w:firstLineChars="200" w:firstLine="640"/>
        <w:rPr>
          <w:rFonts w:ascii="仿宋_GB2312" w:eastAsia="仿宋_GB2312" w:hAnsi="仿宋"/>
          <w:sz w:val="32"/>
          <w:szCs w:val="32"/>
        </w:rPr>
      </w:pPr>
      <w:r w:rsidRPr="00217C23">
        <w:rPr>
          <w:rFonts w:ascii="仿宋_GB2312" w:eastAsia="仿宋_GB2312" w:hAnsi="仿宋" w:hint="eastAsia"/>
          <w:sz w:val="32"/>
          <w:szCs w:val="32"/>
        </w:rPr>
        <w:t>学校建立了《福建农林大学研究生奖学金管理办法》和《研究生国家助学金管理办法》等，建立研究生</w:t>
      </w:r>
      <w:r w:rsidRPr="00217C23">
        <w:rPr>
          <w:rFonts w:ascii="仿宋_GB2312" w:eastAsia="仿宋_GB2312" w:hAnsi="仿宋" w:hint="eastAsia"/>
          <w:color w:val="000000"/>
          <w:sz w:val="32"/>
          <w:szCs w:val="32"/>
        </w:rPr>
        <w:t>代表大会</w:t>
      </w:r>
      <w:r w:rsidRPr="00217C23">
        <w:rPr>
          <w:rFonts w:ascii="仿宋_GB2312" w:eastAsia="仿宋_GB2312" w:hAnsi="仿宋" w:hint="eastAsia"/>
          <w:sz w:val="32"/>
          <w:szCs w:val="32"/>
        </w:rPr>
        <w:t>提案制度，完善研究生兼任教学助理、科研助理、管理助理工作实施办法等，为研究生权益保障奠定基础。学院为本学位</w:t>
      </w:r>
      <w:r w:rsidRPr="00217C23">
        <w:rPr>
          <w:rFonts w:ascii="仿宋_GB2312" w:eastAsia="仿宋_GB2312" w:hAnsi="仿宋" w:hint="eastAsia"/>
          <w:sz w:val="32"/>
          <w:szCs w:val="32"/>
        </w:rPr>
        <w:lastRenderedPageBreak/>
        <w:t>授权点配备管理人员6名，学生专职管理人员2名，共有8名管理人员。2021年对在校研究生进行对学校和培养过程的满意度调查，全部博、硕士研究生都参与，满意度达96.6%。</w:t>
      </w:r>
    </w:p>
    <w:p w:rsidR="00F66134" w:rsidRDefault="00F66134">
      <w:pPr>
        <w:autoSpaceDE w:val="0"/>
        <w:autoSpaceDN w:val="0"/>
        <w:spacing w:line="540" w:lineRule="exact"/>
        <w:ind w:firstLineChars="200" w:firstLine="640"/>
        <w:rPr>
          <w:rFonts w:ascii="仿宋" w:eastAsia="仿宋" w:hAnsi="仿宋"/>
          <w:sz w:val="32"/>
          <w:szCs w:val="32"/>
        </w:rPr>
      </w:pPr>
    </w:p>
    <w:tbl>
      <w:tblPr>
        <w:tblStyle w:val="aa"/>
        <w:tblW w:w="0" w:type="auto"/>
        <w:tblLook w:val="04A0" w:firstRow="1" w:lastRow="0" w:firstColumn="1" w:lastColumn="0" w:noHBand="0" w:noVBand="1"/>
      </w:tblPr>
      <w:tblGrid>
        <w:gridCol w:w="2972"/>
        <w:gridCol w:w="2693"/>
        <w:gridCol w:w="2552"/>
      </w:tblGrid>
      <w:tr w:rsidR="00F66134">
        <w:tc>
          <w:tcPr>
            <w:tcW w:w="8217" w:type="dxa"/>
            <w:gridSpan w:val="3"/>
          </w:tcPr>
          <w:p w:rsidR="00F66134" w:rsidRDefault="002E7B0E">
            <w:pPr>
              <w:spacing w:line="540" w:lineRule="exact"/>
              <w:rPr>
                <w:rFonts w:ascii="仿宋" w:eastAsia="仿宋" w:hAnsi="仿宋"/>
                <w:sz w:val="32"/>
                <w:szCs w:val="32"/>
              </w:rPr>
            </w:pPr>
            <w:r>
              <w:rPr>
                <w:rFonts w:ascii="仿宋" w:eastAsia="仿宋" w:hAnsi="仿宋"/>
                <w:sz w:val="32"/>
                <w:szCs w:val="32"/>
              </w:rPr>
              <w:t>在学博、硕士研究生对学校的满意度</w:t>
            </w:r>
          </w:p>
        </w:tc>
      </w:tr>
      <w:tr w:rsidR="00F66134">
        <w:tc>
          <w:tcPr>
            <w:tcW w:w="2972" w:type="dxa"/>
          </w:tcPr>
          <w:p w:rsidR="00F66134" w:rsidRDefault="002E7B0E">
            <w:pPr>
              <w:spacing w:line="540" w:lineRule="exact"/>
              <w:rPr>
                <w:rFonts w:ascii="仿宋" w:eastAsia="仿宋" w:hAnsi="仿宋"/>
                <w:sz w:val="32"/>
                <w:szCs w:val="32"/>
              </w:rPr>
            </w:pPr>
            <w:r>
              <w:rPr>
                <w:rFonts w:ascii="仿宋" w:eastAsia="仿宋" w:hAnsi="仿宋"/>
                <w:sz w:val="32"/>
                <w:szCs w:val="32"/>
              </w:rPr>
              <w:t>调查人数</w:t>
            </w:r>
          </w:p>
        </w:tc>
        <w:tc>
          <w:tcPr>
            <w:tcW w:w="2693" w:type="dxa"/>
          </w:tcPr>
          <w:p w:rsidR="00F66134" w:rsidRDefault="002E7B0E">
            <w:pPr>
              <w:spacing w:line="540" w:lineRule="exact"/>
              <w:rPr>
                <w:rFonts w:ascii="仿宋" w:eastAsia="仿宋" w:hAnsi="仿宋"/>
                <w:sz w:val="32"/>
                <w:szCs w:val="32"/>
              </w:rPr>
            </w:pPr>
            <w:proofErr w:type="gramStart"/>
            <w:r>
              <w:rPr>
                <w:rFonts w:ascii="仿宋" w:eastAsia="仿宋" w:hAnsi="仿宋"/>
                <w:sz w:val="32"/>
                <w:szCs w:val="32"/>
              </w:rPr>
              <w:t>满意数</w:t>
            </w:r>
            <w:proofErr w:type="gramEnd"/>
          </w:p>
        </w:tc>
        <w:tc>
          <w:tcPr>
            <w:tcW w:w="2552" w:type="dxa"/>
          </w:tcPr>
          <w:p w:rsidR="00F66134" w:rsidRDefault="002E7B0E">
            <w:pPr>
              <w:spacing w:line="540" w:lineRule="exact"/>
              <w:rPr>
                <w:rFonts w:ascii="仿宋" w:eastAsia="仿宋" w:hAnsi="仿宋"/>
                <w:sz w:val="32"/>
                <w:szCs w:val="32"/>
              </w:rPr>
            </w:pPr>
            <w:r>
              <w:rPr>
                <w:rFonts w:ascii="仿宋" w:eastAsia="仿宋" w:hAnsi="仿宋"/>
                <w:sz w:val="32"/>
                <w:szCs w:val="32"/>
              </w:rPr>
              <w:t>满意度</w:t>
            </w:r>
          </w:p>
        </w:tc>
      </w:tr>
      <w:tr w:rsidR="00F66134">
        <w:tc>
          <w:tcPr>
            <w:tcW w:w="2972" w:type="dxa"/>
          </w:tcPr>
          <w:p w:rsidR="00F66134" w:rsidRDefault="002E7B0E">
            <w:pPr>
              <w:spacing w:line="540" w:lineRule="exact"/>
              <w:rPr>
                <w:rFonts w:ascii="仿宋" w:eastAsia="仿宋" w:hAnsi="仿宋"/>
                <w:sz w:val="32"/>
                <w:szCs w:val="32"/>
              </w:rPr>
            </w:pPr>
            <w:r>
              <w:rPr>
                <w:rFonts w:ascii="仿宋" w:eastAsia="仿宋" w:hAnsi="仿宋"/>
                <w:sz w:val="32"/>
                <w:szCs w:val="32"/>
              </w:rPr>
              <w:t>528</w:t>
            </w:r>
          </w:p>
        </w:tc>
        <w:tc>
          <w:tcPr>
            <w:tcW w:w="2693" w:type="dxa"/>
          </w:tcPr>
          <w:p w:rsidR="00F66134" w:rsidRDefault="002E7B0E">
            <w:pPr>
              <w:spacing w:line="540" w:lineRule="exact"/>
              <w:rPr>
                <w:rFonts w:ascii="仿宋" w:eastAsia="仿宋" w:hAnsi="仿宋"/>
                <w:sz w:val="32"/>
                <w:szCs w:val="32"/>
              </w:rPr>
            </w:pPr>
            <w:r>
              <w:rPr>
                <w:rFonts w:ascii="仿宋" w:eastAsia="仿宋" w:hAnsi="仿宋"/>
                <w:sz w:val="32"/>
                <w:szCs w:val="32"/>
              </w:rPr>
              <w:t>501</w:t>
            </w:r>
          </w:p>
        </w:tc>
        <w:tc>
          <w:tcPr>
            <w:tcW w:w="2552" w:type="dxa"/>
          </w:tcPr>
          <w:p w:rsidR="00F66134" w:rsidRDefault="002E7B0E">
            <w:pPr>
              <w:spacing w:line="540" w:lineRule="exact"/>
              <w:rPr>
                <w:rFonts w:ascii="仿宋" w:eastAsia="仿宋" w:hAnsi="仿宋"/>
                <w:sz w:val="32"/>
                <w:szCs w:val="32"/>
              </w:rPr>
            </w:pPr>
            <w:r>
              <w:rPr>
                <w:rFonts w:ascii="仿宋" w:eastAsia="仿宋" w:hAnsi="仿宋"/>
                <w:sz w:val="32"/>
                <w:szCs w:val="32"/>
              </w:rPr>
              <w:t>94.8%</w:t>
            </w:r>
          </w:p>
        </w:tc>
      </w:tr>
      <w:tr w:rsidR="00F66134">
        <w:tc>
          <w:tcPr>
            <w:tcW w:w="8217" w:type="dxa"/>
            <w:gridSpan w:val="3"/>
          </w:tcPr>
          <w:p w:rsidR="00F66134" w:rsidRDefault="002E7B0E">
            <w:pPr>
              <w:spacing w:line="540" w:lineRule="exact"/>
              <w:rPr>
                <w:rFonts w:ascii="仿宋" w:eastAsia="仿宋" w:hAnsi="仿宋"/>
                <w:sz w:val="32"/>
                <w:szCs w:val="32"/>
              </w:rPr>
            </w:pPr>
            <w:r>
              <w:rPr>
                <w:rFonts w:ascii="仿宋" w:eastAsia="仿宋" w:hAnsi="仿宋"/>
                <w:sz w:val="32"/>
                <w:szCs w:val="32"/>
              </w:rPr>
              <w:t>在学博、硕士研究生对培养过程的满意度</w:t>
            </w:r>
          </w:p>
        </w:tc>
      </w:tr>
      <w:tr w:rsidR="00F66134">
        <w:tc>
          <w:tcPr>
            <w:tcW w:w="2972" w:type="dxa"/>
          </w:tcPr>
          <w:p w:rsidR="00F66134" w:rsidRDefault="002E7B0E">
            <w:pPr>
              <w:spacing w:line="540" w:lineRule="exact"/>
              <w:rPr>
                <w:rFonts w:ascii="仿宋" w:eastAsia="仿宋" w:hAnsi="仿宋"/>
                <w:sz w:val="32"/>
                <w:szCs w:val="32"/>
              </w:rPr>
            </w:pPr>
            <w:r>
              <w:rPr>
                <w:rFonts w:ascii="仿宋" w:eastAsia="仿宋" w:hAnsi="仿宋"/>
                <w:sz w:val="32"/>
                <w:szCs w:val="32"/>
              </w:rPr>
              <w:t>调查人数</w:t>
            </w:r>
          </w:p>
        </w:tc>
        <w:tc>
          <w:tcPr>
            <w:tcW w:w="2693" w:type="dxa"/>
          </w:tcPr>
          <w:p w:rsidR="00F66134" w:rsidRDefault="002E7B0E">
            <w:pPr>
              <w:spacing w:line="540" w:lineRule="exact"/>
              <w:rPr>
                <w:rFonts w:ascii="仿宋" w:eastAsia="仿宋" w:hAnsi="仿宋"/>
                <w:sz w:val="32"/>
                <w:szCs w:val="32"/>
              </w:rPr>
            </w:pPr>
            <w:proofErr w:type="gramStart"/>
            <w:r>
              <w:rPr>
                <w:rFonts w:ascii="仿宋" w:eastAsia="仿宋" w:hAnsi="仿宋"/>
                <w:sz w:val="32"/>
                <w:szCs w:val="32"/>
              </w:rPr>
              <w:t>满意数</w:t>
            </w:r>
            <w:proofErr w:type="gramEnd"/>
          </w:p>
        </w:tc>
        <w:tc>
          <w:tcPr>
            <w:tcW w:w="2552" w:type="dxa"/>
          </w:tcPr>
          <w:p w:rsidR="00F66134" w:rsidRDefault="002E7B0E">
            <w:pPr>
              <w:spacing w:line="540" w:lineRule="exact"/>
              <w:rPr>
                <w:rFonts w:ascii="仿宋" w:eastAsia="仿宋" w:hAnsi="仿宋"/>
                <w:sz w:val="32"/>
                <w:szCs w:val="32"/>
              </w:rPr>
            </w:pPr>
            <w:r>
              <w:rPr>
                <w:rFonts w:ascii="仿宋" w:eastAsia="仿宋" w:hAnsi="仿宋"/>
                <w:sz w:val="32"/>
                <w:szCs w:val="32"/>
              </w:rPr>
              <w:t>满意度</w:t>
            </w:r>
          </w:p>
        </w:tc>
      </w:tr>
      <w:tr w:rsidR="00F66134">
        <w:tc>
          <w:tcPr>
            <w:tcW w:w="2972" w:type="dxa"/>
          </w:tcPr>
          <w:p w:rsidR="00F66134" w:rsidRDefault="002E7B0E">
            <w:pPr>
              <w:spacing w:line="540" w:lineRule="exact"/>
              <w:rPr>
                <w:rFonts w:ascii="仿宋" w:eastAsia="仿宋" w:hAnsi="仿宋"/>
                <w:sz w:val="32"/>
                <w:szCs w:val="32"/>
              </w:rPr>
            </w:pPr>
            <w:r>
              <w:rPr>
                <w:rFonts w:ascii="仿宋" w:eastAsia="仿宋" w:hAnsi="仿宋"/>
                <w:sz w:val="32"/>
                <w:szCs w:val="32"/>
              </w:rPr>
              <w:t>528</w:t>
            </w:r>
          </w:p>
        </w:tc>
        <w:tc>
          <w:tcPr>
            <w:tcW w:w="2693" w:type="dxa"/>
          </w:tcPr>
          <w:p w:rsidR="00F66134" w:rsidRDefault="002E7B0E">
            <w:pPr>
              <w:spacing w:line="540" w:lineRule="exact"/>
              <w:rPr>
                <w:rFonts w:ascii="仿宋" w:eastAsia="仿宋" w:hAnsi="仿宋"/>
                <w:sz w:val="32"/>
                <w:szCs w:val="32"/>
              </w:rPr>
            </w:pPr>
            <w:r>
              <w:rPr>
                <w:rFonts w:ascii="仿宋" w:eastAsia="仿宋" w:hAnsi="仿宋"/>
                <w:sz w:val="32"/>
                <w:szCs w:val="32"/>
              </w:rPr>
              <w:t>510</w:t>
            </w:r>
          </w:p>
        </w:tc>
        <w:tc>
          <w:tcPr>
            <w:tcW w:w="2552" w:type="dxa"/>
          </w:tcPr>
          <w:p w:rsidR="00F66134" w:rsidRDefault="002E7B0E">
            <w:pPr>
              <w:spacing w:line="540" w:lineRule="exact"/>
              <w:rPr>
                <w:rFonts w:ascii="仿宋" w:eastAsia="仿宋" w:hAnsi="仿宋"/>
                <w:sz w:val="32"/>
                <w:szCs w:val="32"/>
              </w:rPr>
            </w:pPr>
            <w:r>
              <w:rPr>
                <w:rFonts w:ascii="仿宋" w:eastAsia="仿宋" w:hAnsi="仿宋"/>
                <w:sz w:val="32"/>
                <w:szCs w:val="32"/>
              </w:rPr>
              <w:t>96.6%</w:t>
            </w:r>
          </w:p>
        </w:tc>
      </w:tr>
    </w:tbl>
    <w:p w:rsidR="00F66134" w:rsidRDefault="00F66134">
      <w:pPr>
        <w:spacing w:line="540" w:lineRule="exact"/>
        <w:rPr>
          <w:rFonts w:ascii="仿宋" w:eastAsia="仿宋" w:hAnsi="仿宋"/>
          <w:sz w:val="32"/>
          <w:szCs w:val="32"/>
        </w:rPr>
      </w:pPr>
    </w:p>
    <w:p w:rsidR="00F66134" w:rsidRPr="00217C23" w:rsidRDefault="002E7B0E">
      <w:pPr>
        <w:numPr>
          <w:ilvl w:val="0"/>
          <w:numId w:val="2"/>
        </w:numPr>
        <w:spacing w:line="540" w:lineRule="exact"/>
        <w:ind w:firstLineChars="200" w:firstLine="640"/>
        <w:rPr>
          <w:rFonts w:ascii="仿宋_GB2312" w:eastAsia="仿宋_GB2312" w:hAnsi="黑体"/>
          <w:bCs/>
          <w:sz w:val="32"/>
          <w:szCs w:val="32"/>
        </w:rPr>
      </w:pPr>
      <w:r w:rsidRPr="00217C23">
        <w:rPr>
          <w:rFonts w:ascii="仿宋_GB2312" w:eastAsia="仿宋_GB2312" w:hAnsi="黑体" w:hint="eastAsia"/>
          <w:bCs/>
          <w:sz w:val="32"/>
          <w:szCs w:val="32"/>
        </w:rPr>
        <w:t>人才培养</w:t>
      </w:r>
    </w:p>
    <w:p w:rsidR="00F66134" w:rsidRPr="00217C23" w:rsidRDefault="002E7B0E">
      <w:pPr>
        <w:pStyle w:val="1"/>
        <w:spacing w:line="540" w:lineRule="exact"/>
        <w:ind w:left="720" w:firstLineChars="0" w:firstLine="0"/>
        <w:rPr>
          <w:rFonts w:ascii="仿宋_GB2312" w:eastAsia="仿宋_GB2312" w:hAnsi="楷体"/>
          <w:bCs/>
          <w:sz w:val="32"/>
          <w:szCs w:val="32"/>
        </w:rPr>
      </w:pPr>
      <w:r w:rsidRPr="00217C23">
        <w:rPr>
          <w:rFonts w:ascii="仿宋_GB2312" w:eastAsia="仿宋_GB2312" w:hAnsi="楷体" w:hint="eastAsia"/>
          <w:bCs/>
          <w:sz w:val="32"/>
          <w:szCs w:val="32"/>
        </w:rPr>
        <w:t>1.思想政治教育</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研究生教育是我国教育体系中的顶端教育，直接关系到国家的科技创新和社会经济发展。学位点始终</w:t>
      </w:r>
      <w:r w:rsidRPr="00217C23">
        <w:rPr>
          <w:rFonts w:ascii="仿宋_GB2312" w:eastAsia="仿宋_GB2312" w:hAnsi="仿宋" w:hint="eastAsia"/>
          <w:color w:val="000000"/>
          <w:sz w:val="32"/>
          <w:szCs w:val="32"/>
        </w:rPr>
        <w:t>坚持</w:t>
      </w:r>
      <w:r w:rsidRPr="00217C23">
        <w:rPr>
          <w:rFonts w:ascii="仿宋_GB2312" w:eastAsia="仿宋_GB2312" w:hAnsi="仿宋" w:hint="eastAsia"/>
          <w:bCs/>
          <w:sz w:val="32"/>
          <w:szCs w:val="32"/>
        </w:rPr>
        <w:t>社会主义办学方向，突出农林高校社会责任，把“立德树人，强农兴农”作为学位点办学的指导思想，把思想政治教育贯穿研究生教育全过程，全力培养德才兼备的新时代植保英</w:t>
      </w:r>
      <w:r w:rsidRPr="00217C23">
        <w:rPr>
          <w:rFonts w:ascii="宋体" w:hAnsi="宋体" w:cs="宋体" w:hint="eastAsia"/>
          <w:bCs/>
          <w:sz w:val="32"/>
          <w:szCs w:val="32"/>
        </w:rPr>
        <w:t>龍</w:t>
      </w:r>
      <w:r w:rsidRPr="00217C23">
        <w:rPr>
          <w:rFonts w:ascii="仿宋_GB2312" w:eastAsia="仿宋_GB2312" w:hAnsi="仿宋_GB2312" w:cs="仿宋_GB2312" w:hint="eastAsia"/>
          <w:bCs/>
          <w:sz w:val="32"/>
          <w:szCs w:val="32"/>
        </w:rPr>
        <w:t>人才。</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思想政治教育队伍专业化。学位点建设有专兼职</w:t>
      </w:r>
      <w:proofErr w:type="gramStart"/>
      <w:r w:rsidRPr="00217C23">
        <w:rPr>
          <w:rFonts w:ascii="仿宋_GB2312" w:eastAsia="仿宋_GB2312" w:hAnsi="仿宋" w:hint="eastAsia"/>
          <w:bCs/>
          <w:sz w:val="32"/>
          <w:szCs w:val="32"/>
        </w:rPr>
        <w:t>思政教育</w:t>
      </w:r>
      <w:proofErr w:type="gramEnd"/>
      <w:r w:rsidRPr="00217C23">
        <w:rPr>
          <w:rFonts w:ascii="仿宋_GB2312" w:eastAsia="仿宋_GB2312" w:hAnsi="仿宋" w:hint="eastAsia"/>
          <w:bCs/>
          <w:sz w:val="32"/>
          <w:szCs w:val="32"/>
        </w:rPr>
        <w:t>队伍，研究生专职辅导员3人，兼职辅导员3人。导师作为研究生培养的第一责任人，责任重大，导师定期参加导师培训。学院结合“抗疫”、“五四”、“生态文明建设”等时政主题，多层次多形式开展“主题教育活动”，形成了学院、导师和辅导员相结合的思政协同育人模式。</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基层党组织活动常态化。学位</w:t>
      </w:r>
      <w:proofErr w:type="gramStart"/>
      <w:r w:rsidRPr="00217C23">
        <w:rPr>
          <w:rFonts w:ascii="仿宋_GB2312" w:eastAsia="仿宋_GB2312" w:hAnsi="仿宋" w:hint="eastAsia"/>
          <w:bCs/>
          <w:sz w:val="32"/>
          <w:szCs w:val="32"/>
        </w:rPr>
        <w:t>点充分</w:t>
      </w:r>
      <w:proofErr w:type="gramEnd"/>
      <w:r w:rsidRPr="00217C23">
        <w:rPr>
          <w:rFonts w:ascii="仿宋_GB2312" w:eastAsia="仿宋_GB2312" w:hAnsi="仿宋" w:hint="eastAsia"/>
          <w:bCs/>
          <w:sz w:val="32"/>
          <w:szCs w:val="32"/>
        </w:rPr>
        <w:t>发挥研究生基层党</w:t>
      </w:r>
      <w:r w:rsidRPr="00217C23">
        <w:rPr>
          <w:rFonts w:ascii="仿宋_GB2312" w:eastAsia="仿宋_GB2312" w:hAnsi="仿宋" w:hint="eastAsia"/>
          <w:bCs/>
          <w:sz w:val="32"/>
          <w:szCs w:val="32"/>
        </w:rPr>
        <w:lastRenderedPageBreak/>
        <w:t>组织在思想引领、学术创新、文化自信、社会实践等方面的积极作用，推进基层党组织工作与研究生教学、科研、社</w:t>
      </w:r>
      <w:r w:rsidRPr="00217C23">
        <w:rPr>
          <w:rFonts w:ascii="仿宋_GB2312" w:eastAsia="仿宋_GB2312" w:hAnsi="仿宋" w:hint="eastAsia"/>
          <w:color w:val="000000"/>
          <w:sz w:val="32"/>
          <w:szCs w:val="32"/>
        </w:rPr>
        <w:t>会实践相融合。研究生党支部全年共组织理论学习50余次，结合抗</w:t>
      </w:r>
      <w:proofErr w:type="gramStart"/>
      <w:r w:rsidRPr="00217C23">
        <w:rPr>
          <w:rFonts w:ascii="仿宋_GB2312" w:eastAsia="仿宋_GB2312" w:hAnsi="仿宋" w:hint="eastAsia"/>
          <w:bCs/>
          <w:sz w:val="32"/>
          <w:szCs w:val="32"/>
        </w:rPr>
        <w:t>疫</w:t>
      </w:r>
      <w:proofErr w:type="gramEnd"/>
      <w:r w:rsidRPr="00217C23">
        <w:rPr>
          <w:rFonts w:ascii="仿宋_GB2312" w:eastAsia="仿宋_GB2312" w:hAnsi="仿宋" w:hint="eastAsia"/>
          <w:bCs/>
          <w:sz w:val="32"/>
          <w:szCs w:val="32"/>
        </w:rPr>
        <w:t>等社会志愿服务320余人次，参与科特派、三</w:t>
      </w:r>
      <w:proofErr w:type="gramStart"/>
      <w:r w:rsidRPr="00217C23">
        <w:rPr>
          <w:rFonts w:ascii="仿宋_GB2312" w:eastAsia="仿宋_GB2312" w:hAnsi="仿宋" w:hint="eastAsia"/>
          <w:bCs/>
          <w:sz w:val="32"/>
          <w:szCs w:val="32"/>
        </w:rPr>
        <w:t>农服务</w:t>
      </w:r>
      <w:proofErr w:type="gramEnd"/>
      <w:r w:rsidRPr="00217C23">
        <w:rPr>
          <w:rFonts w:ascii="仿宋_GB2312" w:eastAsia="仿宋_GB2312" w:hAnsi="仿宋" w:hint="eastAsia"/>
          <w:bCs/>
          <w:sz w:val="32"/>
          <w:szCs w:val="32"/>
        </w:rPr>
        <w:t>等社会实践240人次，组织研究生学术交流和科研大比武等。</w:t>
      </w:r>
    </w:p>
    <w:p w:rsidR="00F66134" w:rsidRPr="00217C23" w:rsidRDefault="002E7B0E">
      <w:pPr>
        <w:autoSpaceDE w:val="0"/>
        <w:autoSpaceDN w:val="0"/>
        <w:spacing w:line="540" w:lineRule="exact"/>
        <w:ind w:firstLineChars="200" w:firstLine="640"/>
        <w:rPr>
          <w:rFonts w:ascii="仿宋_GB2312" w:eastAsia="仿宋_GB2312" w:hAnsi="仿宋"/>
          <w:bCs/>
          <w:sz w:val="32"/>
          <w:szCs w:val="32"/>
          <w:highlight w:val="yellow"/>
        </w:rPr>
      </w:pPr>
      <w:r w:rsidRPr="00217C23">
        <w:rPr>
          <w:rFonts w:ascii="仿宋_GB2312" w:eastAsia="仿宋_GB2312" w:hAnsi="仿宋" w:hint="eastAsia"/>
          <w:bCs/>
          <w:sz w:val="32"/>
          <w:szCs w:val="32"/>
        </w:rPr>
        <w:t>德才兼备，全面提升研究生水平。学位点以培养德才兼备的新时代人才为己任，努力提升研究生学术水平和专业实践能力。鼓励研究生参加高水平学科竞赛、参加学术会议，提交大会论文和报告等，并制定了相关奖励办法。结合科技特派员、科技小院等，建立实践教育基地，将服务乡村振兴融入实践教学；制定研究生参与本科教育相关规定，研究生兼职教学助理、科研助理和行政助理等职务，发挥研究生在教学、科研和行政管理方面的作用，提高研究生的实际工作能力。共有11人获国家奖学金。</w:t>
      </w:r>
    </w:p>
    <w:p w:rsidR="00F66134" w:rsidRPr="00217C23" w:rsidRDefault="002E7B0E">
      <w:pPr>
        <w:pStyle w:val="1"/>
        <w:spacing w:line="540" w:lineRule="exact"/>
        <w:ind w:left="720" w:firstLineChars="0" w:firstLine="0"/>
        <w:rPr>
          <w:rFonts w:ascii="仿宋_GB2312" w:eastAsia="仿宋_GB2312" w:hAnsi="楷体"/>
          <w:bCs/>
          <w:sz w:val="32"/>
          <w:szCs w:val="32"/>
        </w:rPr>
      </w:pPr>
      <w:r w:rsidRPr="00217C23">
        <w:rPr>
          <w:rFonts w:ascii="仿宋_GB2312" w:eastAsia="仿宋_GB2312" w:hAnsi="楷体" w:hint="eastAsia"/>
          <w:bCs/>
          <w:sz w:val="32"/>
          <w:szCs w:val="32"/>
        </w:rPr>
        <w:t>2.师德师风建设</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坚持政治引领，夯实思想基础。充分利用“学习强国”线上平台和线下的学习会、党支部会、党支部活动等方式，推动全体导师的思想政治工作，深入学习党的十九届六中全会</w:t>
      </w:r>
      <w:r w:rsidRPr="00217C23">
        <w:rPr>
          <w:rFonts w:ascii="仿宋_GB2312" w:eastAsia="仿宋_GB2312" w:hAnsi="仿宋" w:hint="eastAsia"/>
          <w:color w:val="000000"/>
          <w:sz w:val="32"/>
          <w:szCs w:val="32"/>
        </w:rPr>
        <w:t>精神</w:t>
      </w:r>
      <w:r w:rsidRPr="00217C23">
        <w:rPr>
          <w:rFonts w:ascii="仿宋_GB2312" w:eastAsia="仿宋_GB2312" w:hAnsi="仿宋" w:hint="eastAsia"/>
          <w:bCs/>
          <w:sz w:val="32"/>
          <w:szCs w:val="32"/>
        </w:rPr>
        <w:t>和《中共中央关于党的百年奋斗重大成就和历史经验的决议》，组织学习《中国共产党简史》、《习近平在福州》、《论中国共产党历史》等，强化导师思想阵地，真正做到入脑入心。</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坚持文化传承，弘扬学科精神。学院80多年发展历史积淀</w:t>
      </w:r>
      <w:proofErr w:type="gramStart"/>
      <w:r w:rsidRPr="00217C23">
        <w:rPr>
          <w:rFonts w:ascii="仿宋_GB2312" w:eastAsia="仿宋_GB2312" w:hAnsi="仿宋" w:hint="eastAsia"/>
          <w:bCs/>
          <w:sz w:val="32"/>
          <w:szCs w:val="32"/>
        </w:rPr>
        <w:t>蕴育</w:t>
      </w:r>
      <w:proofErr w:type="gramEnd"/>
      <w:r w:rsidRPr="00217C23">
        <w:rPr>
          <w:rFonts w:ascii="仿宋_GB2312" w:eastAsia="仿宋_GB2312" w:hAnsi="仿宋" w:hint="eastAsia"/>
          <w:bCs/>
          <w:sz w:val="32"/>
          <w:szCs w:val="32"/>
        </w:rPr>
        <w:t>了以诚为核心，“养乾坤正气，育天下英才”为育人理念，“敬业乐群，达士通人”为精神追求，“献身、创新、</w:t>
      </w:r>
      <w:r w:rsidRPr="00217C23">
        <w:rPr>
          <w:rFonts w:ascii="仿宋_GB2312" w:eastAsia="仿宋_GB2312" w:hAnsi="仿宋" w:hint="eastAsia"/>
          <w:color w:val="000000"/>
          <w:sz w:val="32"/>
          <w:szCs w:val="32"/>
        </w:rPr>
        <w:lastRenderedPageBreak/>
        <w:t>求实</w:t>
      </w:r>
      <w:r w:rsidRPr="00217C23">
        <w:rPr>
          <w:rFonts w:ascii="仿宋_GB2312" w:eastAsia="仿宋_GB2312" w:hAnsi="仿宋" w:hint="eastAsia"/>
          <w:bCs/>
          <w:sz w:val="32"/>
          <w:szCs w:val="32"/>
        </w:rPr>
        <w:t>、协作”为院训的“英</w:t>
      </w:r>
      <w:r w:rsidRPr="00217C23">
        <w:rPr>
          <w:rFonts w:ascii="宋体" w:hAnsi="宋体" w:cs="宋体" w:hint="eastAsia"/>
          <w:bCs/>
          <w:sz w:val="32"/>
          <w:szCs w:val="32"/>
        </w:rPr>
        <w:t>龍</w:t>
      </w:r>
      <w:r w:rsidRPr="00217C23">
        <w:rPr>
          <w:rFonts w:ascii="仿宋_GB2312" w:eastAsia="仿宋_GB2312" w:hAnsi="仿宋_GB2312" w:cs="仿宋_GB2312" w:hint="eastAsia"/>
          <w:bCs/>
          <w:sz w:val="32"/>
          <w:szCs w:val="32"/>
        </w:rPr>
        <w:t>”文化，以文化认知构筑教师的共同思想基础，内化为忠诚党的教</w:t>
      </w:r>
      <w:r w:rsidRPr="00217C23">
        <w:rPr>
          <w:rFonts w:ascii="仿宋_GB2312" w:eastAsia="仿宋_GB2312" w:hAnsi="仿宋" w:hint="eastAsia"/>
          <w:bCs/>
          <w:sz w:val="32"/>
          <w:szCs w:val="32"/>
        </w:rPr>
        <w:t>育事业，办好植保高等教育的强大动力。举办教师的教学、科研大比武，营造了良好的比学赶超氛围。</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研究生导师培训常态化，年度开展研究生导师培训5次，邀请谢联辉院士、关雄教授、侯有明教授和张绍升教授等为研究生导师上课，分享培养研究生的心得体会，提升研究生导师政治水平和思想站位。</w:t>
      </w:r>
    </w:p>
    <w:p w:rsidR="00F66134" w:rsidRPr="00217C23" w:rsidRDefault="002E7B0E">
      <w:pPr>
        <w:pStyle w:val="1"/>
        <w:spacing w:line="540" w:lineRule="exact"/>
        <w:ind w:left="720" w:firstLineChars="0" w:firstLine="0"/>
        <w:rPr>
          <w:rFonts w:ascii="仿宋_GB2312" w:eastAsia="仿宋_GB2312" w:hAnsi="楷体"/>
          <w:bCs/>
          <w:sz w:val="32"/>
          <w:szCs w:val="32"/>
        </w:rPr>
      </w:pPr>
      <w:r w:rsidRPr="00217C23">
        <w:rPr>
          <w:rFonts w:ascii="仿宋_GB2312" w:eastAsia="仿宋_GB2312" w:hAnsi="楷体" w:hint="eastAsia"/>
          <w:bCs/>
          <w:sz w:val="32"/>
          <w:szCs w:val="32"/>
        </w:rPr>
        <w:t>3.招生选拔</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多渠道强化专业学位点的招生与选拔工作，保证学生质量。积极宣传学科办学优势和导师影响力，加强导师队伍建设，吸引优秀生源；自筹资金，设立研究生学业奖学金，年度安排资金180余万元；赴其他高校广泛宣传、在校生回母校宣传、及时更新学科发展动态和成果等信息化手段吸引优秀生源。</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招生选拔方式多元化，招生规模不断壮大。学位点博士生招生有普通招考、申请考核制招生和</w:t>
      </w:r>
      <w:bookmarkStart w:id="0" w:name="_GoBack"/>
      <w:r w:rsidRPr="00217C23">
        <w:rPr>
          <w:rFonts w:ascii="仿宋_GB2312" w:eastAsia="仿宋_GB2312" w:hAnsi="仿宋" w:hint="eastAsia"/>
          <w:bCs/>
          <w:sz w:val="32"/>
          <w:szCs w:val="32"/>
        </w:rPr>
        <w:t>硕士</w:t>
      </w:r>
      <w:bookmarkEnd w:id="0"/>
      <w:r w:rsidRPr="00217C23">
        <w:rPr>
          <w:rFonts w:ascii="仿宋_GB2312" w:eastAsia="仿宋_GB2312" w:hAnsi="仿宋" w:hint="eastAsia"/>
          <w:bCs/>
          <w:sz w:val="32"/>
          <w:szCs w:val="32"/>
        </w:rPr>
        <w:t>直接攻博等多种方式。硕士生招生方式为普通招考和免试推荐。本学位点博士研究生录取人数26人，硕士研究生录取人数79人，保持稳定。</w:t>
      </w:r>
    </w:p>
    <w:p w:rsidR="00F66134" w:rsidRPr="00217C23" w:rsidRDefault="002E7B0E">
      <w:pPr>
        <w:pStyle w:val="1"/>
        <w:spacing w:line="540" w:lineRule="exact"/>
        <w:ind w:left="720" w:firstLineChars="0" w:firstLine="0"/>
        <w:rPr>
          <w:rFonts w:ascii="仿宋_GB2312" w:eastAsia="仿宋_GB2312" w:hAnsi="楷体"/>
          <w:bCs/>
          <w:sz w:val="32"/>
          <w:szCs w:val="32"/>
        </w:rPr>
      </w:pPr>
      <w:r w:rsidRPr="00217C23">
        <w:rPr>
          <w:rFonts w:ascii="仿宋_GB2312" w:eastAsia="仿宋_GB2312" w:hAnsi="楷体" w:hint="eastAsia"/>
          <w:bCs/>
          <w:sz w:val="32"/>
          <w:szCs w:val="32"/>
        </w:rPr>
        <w:t>4.课程教学</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博士生开设4门核心课程，硕士生开设16门核心课程，博士研究生全英文课程18门、硕士研究生中英文课程10门。每门课程都由教学经验丰富，指导能力强的教授或副教授领衔，团队老中青结合，积极发挥传帮带，培养年轻教师。全</w:t>
      </w:r>
      <w:r w:rsidRPr="00217C23">
        <w:rPr>
          <w:rFonts w:ascii="仿宋_GB2312" w:eastAsia="仿宋_GB2312" w:hAnsi="仿宋" w:hint="eastAsia"/>
          <w:bCs/>
          <w:sz w:val="32"/>
          <w:szCs w:val="32"/>
        </w:rPr>
        <w:lastRenderedPageBreak/>
        <w:t>职外籍教师Stefan Olsson主讲和参与2门博士课程的授课。学位点课程体系完善，兼顾基础知识、专业知识以及知识的宽度与深度，同时将理论与实践紧密结合，紧跟科学前沿，拓展学生国际视野。</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在学校完善的研究生教学管理制度基础上，学位点持续强化教学改革，鼓励教师不断探索新的教学方法，各教学团队组织教学研讨和总结，持续改进教学工作。同时，制定相应的研究生培养方案、课程体系、教学管理等规章制度，充分保证了研究生教学质量。</w:t>
      </w:r>
    </w:p>
    <w:p w:rsidR="00F66134" w:rsidRPr="00217C23" w:rsidRDefault="002E7B0E">
      <w:pPr>
        <w:pStyle w:val="1"/>
        <w:spacing w:line="540" w:lineRule="exact"/>
        <w:ind w:left="720" w:firstLineChars="0" w:firstLine="0"/>
        <w:rPr>
          <w:rFonts w:ascii="仿宋_GB2312" w:eastAsia="仿宋_GB2312" w:hAnsi="楷体"/>
          <w:bCs/>
          <w:sz w:val="32"/>
          <w:szCs w:val="32"/>
        </w:rPr>
      </w:pPr>
      <w:r w:rsidRPr="00217C23">
        <w:rPr>
          <w:rFonts w:ascii="仿宋_GB2312" w:eastAsia="仿宋_GB2312" w:hAnsi="楷体" w:hint="eastAsia"/>
          <w:bCs/>
          <w:sz w:val="32"/>
          <w:szCs w:val="32"/>
        </w:rPr>
        <w:t>5.导师管理</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学校高度重视研究生导师的遴选和管理工作，严格执行《福建农林大学研究生导师选聘工作办法（修订）》，进一步加强研究生导师队伍建设，做到“注重水平、分类</w:t>
      </w:r>
      <w:r w:rsidRPr="00217C23">
        <w:rPr>
          <w:rFonts w:ascii="仿宋_GB2312" w:eastAsia="仿宋_GB2312" w:hAnsi="仿宋" w:hint="eastAsia"/>
          <w:color w:val="000000"/>
          <w:sz w:val="32"/>
          <w:szCs w:val="32"/>
        </w:rPr>
        <w:t>审核</w:t>
      </w:r>
      <w:r w:rsidRPr="00217C23">
        <w:rPr>
          <w:rFonts w:ascii="仿宋_GB2312" w:eastAsia="仿宋_GB2312" w:hAnsi="仿宋" w:hint="eastAsia"/>
          <w:bCs/>
          <w:sz w:val="32"/>
          <w:szCs w:val="32"/>
        </w:rPr>
        <w:t>、择优上岗、动态管理”，选拔有责任心、学术造诣深、科研水平高的导师上岗。对在岗导师的师德师风、科研项目、科研经费、科研成果、培养质量和论文抽检等方面进行审核，对不合格导师暂停招生资格，导师队伍更加合理，现有校内在编硕士生导师51人，博士生导师23人。围绕学科发展做好高层次人才培养工作，新增1人获得</w:t>
      </w:r>
      <w:proofErr w:type="gramStart"/>
      <w:r w:rsidRPr="00217C23">
        <w:rPr>
          <w:rFonts w:ascii="仿宋_GB2312" w:eastAsia="仿宋_GB2312" w:hAnsi="仿宋" w:hint="eastAsia"/>
          <w:bCs/>
          <w:sz w:val="32"/>
          <w:szCs w:val="32"/>
        </w:rPr>
        <w:t>国家优青资助</w:t>
      </w:r>
      <w:proofErr w:type="gramEnd"/>
      <w:r w:rsidRPr="00217C23">
        <w:rPr>
          <w:rFonts w:ascii="仿宋_GB2312" w:eastAsia="仿宋_GB2312" w:hAnsi="仿宋" w:hint="eastAsia"/>
          <w:bCs/>
          <w:sz w:val="32"/>
          <w:szCs w:val="32"/>
        </w:rPr>
        <w:t>。</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学位</w:t>
      </w:r>
      <w:proofErr w:type="gramStart"/>
      <w:r w:rsidRPr="00217C23">
        <w:rPr>
          <w:rFonts w:ascii="仿宋_GB2312" w:eastAsia="仿宋_GB2312" w:hAnsi="仿宋" w:hint="eastAsia"/>
          <w:bCs/>
          <w:sz w:val="32"/>
          <w:szCs w:val="32"/>
        </w:rPr>
        <w:t>点先后</w:t>
      </w:r>
      <w:proofErr w:type="gramEnd"/>
      <w:r w:rsidRPr="00217C23">
        <w:rPr>
          <w:rFonts w:ascii="仿宋_GB2312" w:eastAsia="仿宋_GB2312" w:hAnsi="仿宋" w:hint="eastAsia"/>
          <w:bCs/>
          <w:sz w:val="32"/>
          <w:szCs w:val="32"/>
        </w:rPr>
        <w:t>多次组织研究生导师参加学院和学校的培训，提出“如何做好导师、如何带好学生”，强化导师管理、健全导师责权机制是深化研究生教育</w:t>
      </w:r>
      <w:r w:rsidRPr="00217C23">
        <w:rPr>
          <w:rFonts w:ascii="仿宋_GB2312" w:eastAsia="仿宋_GB2312" w:hAnsi="仿宋" w:hint="eastAsia"/>
          <w:color w:val="000000"/>
          <w:sz w:val="32"/>
          <w:szCs w:val="32"/>
        </w:rPr>
        <w:t>改革</w:t>
      </w:r>
      <w:r w:rsidRPr="00217C23">
        <w:rPr>
          <w:rFonts w:ascii="仿宋_GB2312" w:eastAsia="仿宋_GB2312" w:hAnsi="仿宋" w:hint="eastAsia"/>
          <w:bCs/>
          <w:sz w:val="32"/>
          <w:szCs w:val="32"/>
        </w:rPr>
        <w:t>的重要举措。同时邀请谢联辉院士、关雄教授、王宗华教授开展学术道德和科研诚信讲座，言传身教引导中青年导师同时做好学生的人格教育和科研教育。</w:t>
      </w:r>
    </w:p>
    <w:p w:rsidR="00F66134" w:rsidRPr="00217C23" w:rsidRDefault="002E7B0E">
      <w:pPr>
        <w:pStyle w:val="1"/>
        <w:spacing w:line="540" w:lineRule="exact"/>
        <w:ind w:left="720" w:firstLineChars="0" w:firstLine="0"/>
        <w:rPr>
          <w:rFonts w:ascii="仿宋_GB2312" w:eastAsia="仿宋_GB2312" w:hAnsi="楷体"/>
          <w:bCs/>
          <w:sz w:val="32"/>
          <w:szCs w:val="32"/>
        </w:rPr>
      </w:pPr>
      <w:r w:rsidRPr="00217C23">
        <w:rPr>
          <w:rFonts w:ascii="仿宋_GB2312" w:eastAsia="仿宋_GB2312" w:hAnsi="楷体" w:hint="eastAsia"/>
          <w:bCs/>
          <w:sz w:val="32"/>
          <w:szCs w:val="32"/>
        </w:rPr>
        <w:lastRenderedPageBreak/>
        <w:t>6.学术训练和实习实践</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研究生科研能力和学术水平的提高关键在学术训练。学位点通过鼓励学生参加各种学术活动，不定期组织学术沙龙、专题报告、试验技能比武、学科竞赛等，促进研究生的学术交流，提高研究生学术能力；以课题组为单位，组建研究生培养</w:t>
      </w:r>
      <w:r w:rsidRPr="00217C23">
        <w:rPr>
          <w:rFonts w:ascii="仿宋_GB2312" w:eastAsia="仿宋_GB2312" w:hAnsi="仿宋" w:hint="eastAsia"/>
          <w:color w:val="000000"/>
          <w:sz w:val="32"/>
          <w:szCs w:val="32"/>
        </w:rPr>
        <w:t>导师</w:t>
      </w:r>
      <w:r w:rsidRPr="00217C23">
        <w:rPr>
          <w:rFonts w:ascii="仿宋_GB2312" w:eastAsia="仿宋_GB2312" w:hAnsi="仿宋" w:hint="eastAsia"/>
          <w:bCs/>
          <w:sz w:val="32"/>
          <w:szCs w:val="32"/>
        </w:rPr>
        <w:t>指导小组，全过程指导学生学术活动和学术能力提升，定期汇报研究进展，认真完成文献阅读、报告撰写等学术活动；鼓励学生协助导师完成本科教学工作，分担部分专题报告、课程论文考核等环节的质量监督；疫情期间通过线上与线下相结合的方式，与兄弟院校进行学术交流，参加学术会议等，实现学术交流不间断，提升研究生学术水平。</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“社会</w:t>
      </w:r>
      <w:r w:rsidRPr="00217C23">
        <w:rPr>
          <w:rFonts w:ascii="仿宋_GB2312" w:eastAsia="仿宋_GB2312" w:hAnsi="仿宋" w:hint="eastAsia"/>
          <w:sz w:val="32"/>
          <w:szCs w:val="32"/>
        </w:rPr>
        <w:t>—</w:t>
      </w:r>
      <w:r w:rsidRPr="00217C23">
        <w:rPr>
          <w:rFonts w:ascii="仿宋_GB2312" w:eastAsia="仿宋_GB2312" w:hAnsi="仿宋" w:hint="eastAsia"/>
          <w:bCs/>
          <w:sz w:val="32"/>
          <w:szCs w:val="32"/>
        </w:rPr>
        <w:t>课程</w:t>
      </w:r>
      <w:r w:rsidRPr="00217C23">
        <w:rPr>
          <w:rFonts w:ascii="仿宋_GB2312" w:eastAsia="仿宋_GB2312" w:hAnsi="仿宋" w:hint="eastAsia"/>
          <w:sz w:val="32"/>
          <w:szCs w:val="32"/>
        </w:rPr>
        <w:t>—</w:t>
      </w:r>
      <w:r w:rsidRPr="00217C23">
        <w:rPr>
          <w:rFonts w:ascii="仿宋_GB2312" w:eastAsia="仿宋_GB2312" w:hAnsi="仿宋" w:hint="eastAsia"/>
          <w:bCs/>
          <w:sz w:val="32"/>
          <w:szCs w:val="32"/>
        </w:rPr>
        <w:t>科研</w:t>
      </w:r>
      <w:r w:rsidRPr="00217C23">
        <w:rPr>
          <w:rFonts w:ascii="仿宋_GB2312" w:eastAsia="仿宋_GB2312" w:hAnsi="仿宋" w:hint="eastAsia"/>
          <w:sz w:val="32"/>
          <w:szCs w:val="32"/>
        </w:rPr>
        <w:t>—</w:t>
      </w:r>
      <w:r w:rsidRPr="00217C23">
        <w:rPr>
          <w:rFonts w:ascii="仿宋_GB2312" w:eastAsia="仿宋_GB2312" w:hAnsi="仿宋" w:hint="eastAsia"/>
          <w:bCs/>
          <w:sz w:val="32"/>
          <w:szCs w:val="32"/>
        </w:rPr>
        <w:t>生产</w:t>
      </w:r>
      <w:r w:rsidRPr="00217C23">
        <w:rPr>
          <w:rFonts w:ascii="仿宋_GB2312" w:eastAsia="仿宋_GB2312" w:hAnsi="仿宋" w:hint="eastAsia"/>
          <w:sz w:val="32"/>
          <w:szCs w:val="32"/>
        </w:rPr>
        <w:t>—</w:t>
      </w:r>
      <w:r w:rsidRPr="00217C23">
        <w:rPr>
          <w:rFonts w:ascii="仿宋_GB2312" w:eastAsia="仿宋_GB2312" w:hAnsi="仿宋" w:hint="eastAsia"/>
          <w:bCs/>
          <w:sz w:val="32"/>
          <w:szCs w:val="32"/>
        </w:rPr>
        <w:t>实践”的“五位一体”教学模式应用于研究生的实习实践。在实习实践过程中将疫情防控、乡村振兴、生态文明建设、三农情怀</w:t>
      </w:r>
      <w:proofErr w:type="gramStart"/>
      <w:r w:rsidRPr="00217C23">
        <w:rPr>
          <w:rFonts w:ascii="仿宋_GB2312" w:eastAsia="仿宋_GB2312" w:hAnsi="仿宋" w:hint="eastAsia"/>
          <w:bCs/>
          <w:sz w:val="32"/>
          <w:szCs w:val="32"/>
        </w:rPr>
        <w:t>等思政教育</w:t>
      </w:r>
      <w:proofErr w:type="gramEnd"/>
      <w:r w:rsidRPr="00217C23">
        <w:rPr>
          <w:rFonts w:ascii="仿宋_GB2312" w:eastAsia="仿宋_GB2312" w:hAnsi="仿宋" w:hint="eastAsia"/>
          <w:bCs/>
          <w:sz w:val="32"/>
          <w:szCs w:val="32"/>
        </w:rPr>
        <w:t>元素有机融合，结合我省科特派等社会服务工作，带领研究生为地方农业发展献计献策，为农户诊治病虫害等，提升研究生解决实际问题的能力。</w:t>
      </w:r>
    </w:p>
    <w:p w:rsidR="00F66134" w:rsidRPr="00217C23" w:rsidRDefault="002E7B0E">
      <w:pPr>
        <w:numPr>
          <w:ilvl w:val="0"/>
          <w:numId w:val="2"/>
        </w:numPr>
        <w:spacing w:line="540" w:lineRule="exact"/>
        <w:ind w:firstLineChars="200" w:firstLine="640"/>
        <w:rPr>
          <w:rFonts w:ascii="仿宋_GB2312" w:eastAsia="仿宋_GB2312" w:hAnsi="黑体"/>
          <w:sz w:val="32"/>
          <w:szCs w:val="32"/>
        </w:rPr>
      </w:pPr>
      <w:r w:rsidRPr="00217C23">
        <w:rPr>
          <w:rFonts w:ascii="仿宋_GB2312" w:eastAsia="仿宋_GB2312" w:hAnsi="黑体" w:hint="eastAsia"/>
          <w:sz w:val="32"/>
          <w:szCs w:val="32"/>
        </w:rPr>
        <w:t>质量监控：分流淘汰、学位论文、学风教育、就业发展</w:t>
      </w:r>
    </w:p>
    <w:p w:rsidR="00F66134" w:rsidRPr="00217C23" w:rsidRDefault="002E7B0E">
      <w:pPr>
        <w:pStyle w:val="1"/>
        <w:spacing w:line="540" w:lineRule="exact"/>
        <w:ind w:left="720" w:firstLineChars="0" w:firstLine="0"/>
        <w:rPr>
          <w:rFonts w:ascii="仿宋_GB2312" w:eastAsia="仿宋_GB2312" w:hAnsi="楷体"/>
          <w:sz w:val="32"/>
          <w:szCs w:val="32"/>
        </w:rPr>
      </w:pPr>
      <w:r w:rsidRPr="00217C23">
        <w:rPr>
          <w:rFonts w:ascii="仿宋_GB2312" w:eastAsia="仿宋_GB2312" w:hAnsi="楷体" w:hint="eastAsia"/>
          <w:sz w:val="32"/>
          <w:szCs w:val="32"/>
        </w:rPr>
        <w:t>1.</w:t>
      </w:r>
      <w:r w:rsidRPr="00217C23">
        <w:rPr>
          <w:rFonts w:ascii="仿宋_GB2312" w:eastAsia="仿宋_GB2312" w:hAnsi="楷体" w:hint="eastAsia"/>
          <w:bCs/>
          <w:sz w:val="32"/>
          <w:szCs w:val="32"/>
        </w:rPr>
        <w:t>分流淘汰</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学校制定和修订了研究生相关</w:t>
      </w:r>
      <w:r w:rsidRPr="00217C23">
        <w:rPr>
          <w:rFonts w:ascii="仿宋_GB2312" w:eastAsia="仿宋_GB2312" w:hAnsi="仿宋" w:hint="eastAsia"/>
          <w:color w:val="000000"/>
          <w:sz w:val="32"/>
          <w:szCs w:val="32"/>
        </w:rPr>
        <w:t>管理</w:t>
      </w:r>
      <w:r w:rsidRPr="00217C23">
        <w:rPr>
          <w:rFonts w:ascii="仿宋_GB2312" w:eastAsia="仿宋_GB2312" w:hAnsi="仿宋" w:hint="eastAsia"/>
          <w:bCs/>
          <w:sz w:val="32"/>
          <w:szCs w:val="32"/>
        </w:rPr>
        <w:t>规定和文件，严把研究生培养质量关，相关文件有《福建农林大学关于学术型研究生开题报告的暂行规定（修订）》、《福建农林大学学术研究生中期考核方法（试行）》、《福建农林大学学术不端行为查处细则（试行）》《福建农林大学研究生参加学术活</w:t>
      </w:r>
      <w:r w:rsidRPr="00217C23">
        <w:rPr>
          <w:rFonts w:ascii="仿宋_GB2312" w:eastAsia="仿宋_GB2312" w:hAnsi="仿宋" w:hint="eastAsia"/>
          <w:bCs/>
          <w:sz w:val="32"/>
          <w:szCs w:val="32"/>
        </w:rPr>
        <w:lastRenderedPageBreak/>
        <w:t>动管理规定》、《福建农林大学研究生学位论文评审工作管理办法（试行）》等。学位点在研究生的课程、学位论文开题、中期考核、博士生综合考核和答辩等环节对不合格研究生进行分流与淘汰。本年度有9名博士研究生因未达到答辩要求而延期答辩，有3名硕士生延期答辩，3名博士生退学，2名硕士生退学。</w:t>
      </w:r>
    </w:p>
    <w:p w:rsidR="00F66134" w:rsidRPr="00217C23" w:rsidRDefault="002E7B0E">
      <w:pPr>
        <w:pStyle w:val="1"/>
        <w:spacing w:line="540" w:lineRule="exact"/>
        <w:ind w:left="720" w:firstLineChars="0" w:firstLine="0"/>
        <w:rPr>
          <w:rFonts w:ascii="仿宋_GB2312" w:eastAsia="仿宋_GB2312" w:hAnsi="楷体"/>
          <w:sz w:val="32"/>
          <w:szCs w:val="32"/>
        </w:rPr>
      </w:pPr>
      <w:r w:rsidRPr="00217C23">
        <w:rPr>
          <w:rFonts w:ascii="仿宋_GB2312" w:eastAsia="仿宋_GB2312" w:hAnsi="楷体" w:hint="eastAsia"/>
          <w:sz w:val="32"/>
          <w:szCs w:val="32"/>
        </w:rPr>
        <w:t>2.</w:t>
      </w:r>
      <w:r w:rsidRPr="00217C23">
        <w:rPr>
          <w:rFonts w:ascii="仿宋_GB2312" w:eastAsia="仿宋_GB2312" w:hAnsi="楷体" w:hint="eastAsia"/>
          <w:bCs/>
          <w:sz w:val="32"/>
          <w:szCs w:val="32"/>
        </w:rPr>
        <w:t>学位论文</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学位点严格按照国务院学位办和学校制定的相关文件《福建农林大学学位授予实施细则（2017年修订）》、《福建农林大学博士研究生发表论文规定（2015年修订）》、</w:t>
      </w:r>
      <w:r w:rsidRPr="00217C23">
        <w:rPr>
          <w:rFonts w:ascii="仿宋_GB2312" w:eastAsia="仿宋_GB2312" w:hAnsi="仿宋" w:hint="eastAsia"/>
          <w:color w:val="000000"/>
          <w:sz w:val="32"/>
          <w:szCs w:val="32"/>
        </w:rPr>
        <w:t>《福建农林大学研究生学位论文抽检实施细则（试行）》、《福建农林大学研究生学位论文评审工作管理办法（试行）》，严格规范学位论文，全部学位论文必须通过</w:t>
      </w:r>
      <w:proofErr w:type="gramStart"/>
      <w:r w:rsidRPr="00217C23">
        <w:rPr>
          <w:rFonts w:ascii="仿宋_GB2312" w:eastAsia="仿宋_GB2312" w:hAnsi="仿宋" w:hint="eastAsia"/>
          <w:color w:val="000000"/>
          <w:sz w:val="32"/>
          <w:szCs w:val="32"/>
        </w:rPr>
        <w:t>盲审才</w:t>
      </w:r>
      <w:proofErr w:type="gramEnd"/>
      <w:r w:rsidRPr="00217C23">
        <w:rPr>
          <w:rFonts w:ascii="仿宋_GB2312" w:eastAsia="仿宋_GB2312" w:hAnsi="仿宋" w:hint="eastAsia"/>
          <w:color w:val="000000"/>
          <w:sz w:val="32"/>
          <w:szCs w:val="32"/>
        </w:rPr>
        <w:t>可进入答辩环节。本年度</w:t>
      </w:r>
      <w:proofErr w:type="gramStart"/>
      <w:r w:rsidRPr="00217C23">
        <w:rPr>
          <w:rFonts w:ascii="仿宋_GB2312" w:eastAsia="仿宋_GB2312" w:hAnsi="仿宋" w:hint="eastAsia"/>
          <w:color w:val="000000"/>
          <w:sz w:val="32"/>
          <w:szCs w:val="32"/>
        </w:rPr>
        <w:t>盲审有</w:t>
      </w:r>
      <w:proofErr w:type="gramEnd"/>
      <w:r w:rsidRPr="00217C23">
        <w:rPr>
          <w:rFonts w:ascii="仿宋_GB2312" w:eastAsia="仿宋_GB2312" w:hAnsi="仿宋" w:hint="eastAsia"/>
          <w:color w:val="000000"/>
          <w:sz w:val="32"/>
          <w:szCs w:val="32"/>
        </w:rPr>
        <w:t>1篇论文未通过，占送审论文的1%。</w:t>
      </w:r>
    </w:p>
    <w:p w:rsidR="00F66134" w:rsidRPr="00217C23" w:rsidRDefault="002E7B0E">
      <w:pPr>
        <w:pStyle w:val="1"/>
        <w:spacing w:line="540" w:lineRule="exact"/>
        <w:ind w:left="720" w:firstLineChars="0" w:firstLine="0"/>
        <w:rPr>
          <w:rFonts w:ascii="仿宋_GB2312" w:eastAsia="仿宋_GB2312" w:hAnsi="楷体"/>
          <w:sz w:val="32"/>
          <w:szCs w:val="32"/>
        </w:rPr>
      </w:pPr>
      <w:r w:rsidRPr="00217C23">
        <w:rPr>
          <w:rFonts w:ascii="仿宋_GB2312" w:eastAsia="仿宋_GB2312" w:hAnsi="楷体" w:hint="eastAsia"/>
          <w:sz w:val="32"/>
          <w:szCs w:val="32"/>
        </w:rPr>
        <w:t>3.</w:t>
      </w:r>
      <w:r w:rsidRPr="00217C23">
        <w:rPr>
          <w:rFonts w:ascii="仿宋_GB2312" w:eastAsia="仿宋_GB2312" w:hAnsi="楷体" w:hint="eastAsia"/>
          <w:bCs/>
          <w:sz w:val="32"/>
          <w:szCs w:val="32"/>
        </w:rPr>
        <w:t>学风教育</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学校、学院和导师不定期对研究生进行科学道德和学风教育，将学术道德纳入研究生课程和考核。</w:t>
      </w:r>
      <w:r w:rsidRPr="00217C23">
        <w:rPr>
          <w:rFonts w:ascii="仿宋_GB2312" w:eastAsia="仿宋_GB2312" w:hAnsi="仿宋" w:hint="eastAsia"/>
          <w:color w:val="000000"/>
          <w:sz w:val="32"/>
          <w:szCs w:val="32"/>
        </w:rPr>
        <w:t>学校</w:t>
      </w:r>
      <w:r w:rsidRPr="00217C23">
        <w:rPr>
          <w:rFonts w:ascii="仿宋_GB2312" w:eastAsia="仿宋_GB2312" w:hAnsi="仿宋" w:hint="eastAsia"/>
          <w:bCs/>
          <w:sz w:val="32"/>
          <w:szCs w:val="32"/>
        </w:rPr>
        <w:t>组织研究生新生教育、学习宣讲、学术道德专题讲座；学院组织专题研讨会、学术规范专题培训；导师监督和检查日常学术活动，促进研究生养成优良学风和高尚学术道德。</w:t>
      </w:r>
    </w:p>
    <w:p w:rsidR="00F66134" w:rsidRPr="00217C23" w:rsidRDefault="002E7B0E">
      <w:pPr>
        <w:pStyle w:val="1"/>
        <w:spacing w:line="540" w:lineRule="exact"/>
        <w:ind w:left="720" w:firstLineChars="0" w:firstLine="0"/>
        <w:rPr>
          <w:rFonts w:ascii="仿宋_GB2312" w:eastAsia="仿宋_GB2312" w:hAnsi="楷体"/>
          <w:sz w:val="32"/>
          <w:szCs w:val="32"/>
        </w:rPr>
      </w:pPr>
      <w:r w:rsidRPr="00217C23">
        <w:rPr>
          <w:rFonts w:ascii="仿宋_GB2312" w:eastAsia="仿宋_GB2312" w:hAnsi="楷体" w:hint="eastAsia"/>
          <w:sz w:val="32"/>
          <w:szCs w:val="32"/>
        </w:rPr>
        <w:t>4.</w:t>
      </w:r>
      <w:r w:rsidRPr="00217C23">
        <w:rPr>
          <w:rFonts w:ascii="仿宋_GB2312" w:eastAsia="仿宋_GB2312" w:hAnsi="楷体" w:hint="eastAsia"/>
          <w:bCs/>
          <w:sz w:val="32"/>
          <w:szCs w:val="32"/>
        </w:rPr>
        <w:t>就业发展</w:t>
      </w:r>
    </w:p>
    <w:p w:rsidR="00F66134" w:rsidRPr="00217C23" w:rsidRDefault="002E7B0E">
      <w:pPr>
        <w:autoSpaceDE w:val="0"/>
        <w:autoSpaceDN w:val="0"/>
        <w:spacing w:line="540" w:lineRule="exact"/>
        <w:ind w:firstLineChars="200" w:firstLine="640"/>
        <w:rPr>
          <w:rFonts w:ascii="仿宋_GB2312" w:eastAsia="仿宋_GB2312" w:hAnsi="仿宋"/>
          <w:bCs/>
          <w:sz w:val="32"/>
          <w:szCs w:val="32"/>
        </w:rPr>
      </w:pPr>
      <w:r w:rsidRPr="00217C23">
        <w:rPr>
          <w:rFonts w:ascii="仿宋_GB2312" w:eastAsia="仿宋_GB2312" w:hAnsi="仿宋" w:hint="eastAsia"/>
          <w:bCs/>
          <w:sz w:val="32"/>
          <w:szCs w:val="32"/>
        </w:rPr>
        <w:t>学位点高度重视毕业生就业和发展。本年度授予博士学位19人，硕士学位85人，博士毕业生就业率100%，硕士</w:t>
      </w:r>
      <w:r w:rsidRPr="00217C23">
        <w:rPr>
          <w:rFonts w:ascii="仿宋_GB2312" w:eastAsia="仿宋_GB2312" w:hAnsi="仿宋" w:hint="eastAsia"/>
          <w:color w:val="000000"/>
          <w:sz w:val="32"/>
          <w:szCs w:val="32"/>
        </w:rPr>
        <w:t>毕业生</w:t>
      </w:r>
      <w:r w:rsidRPr="00217C23">
        <w:rPr>
          <w:rFonts w:ascii="仿宋_GB2312" w:eastAsia="仿宋_GB2312" w:hAnsi="仿宋" w:hint="eastAsia"/>
          <w:bCs/>
          <w:sz w:val="32"/>
          <w:szCs w:val="32"/>
        </w:rPr>
        <w:t>就业81人,就业率92.05%。整体就业质量好，专业匹配度较高，博士毕业生主要就业与各高校和科研院所，硕士毕业</w:t>
      </w:r>
      <w:r w:rsidRPr="00217C23">
        <w:rPr>
          <w:rFonts w:ascii="仿宋_GB2312" w:eastAsia="仿宋_GB2312" w:hAnsi="仿宋" w:hint="eastAsia"/>
          <w:bCs/>
          <w:sz w:val="32"/>
          <w:szCs w:val="32"/>
        </w:rPr>
        <w:lastRenderedPageBreak/>
        <w:t>生多就业于相关企业。学位点所在学院不断夯实精准化就业创业指导体系，落实导师指导研究生就业责任，切实提升就业质量。</w:t>
      </w:r>
    </w:p>
    <w:p w:rsidR="00F66134" w:rsidRPr="00217C23" w:rsidRDefault="00F66134">
      <w:pPr>
        <w:autoSpaceDE w:val="0"/>
        <w:autoSpaceDN w:val="0"/>
        <w:spacing w:line="540" w:lineRule="exact"/>
        <w:ind w:firstLineChars="200" w:firstLine="640"/>
        <w:rPr>
          <w:rFonts w:ascii="仿宋_GB2312" w:eastAsia="仿宋_GB2312" w:hAnsi="仿宋"/>
          <w:bCs/>
          <w:sz w:val="32"/>
          <w:szCs w:val="32"/>
        </w:rPr>
      </w:pPr>
    </w:p>
    <w:p w:rsidR="00F66134" w:rsidRPr="00217C23" w:rsidRDefault="002E7B0E">
      <w:pPr>
        <w:spacing w:line="540" w:lineRule="exact"/>
        <w:rPr>
          <w:rFonts w:ascii="仿宋_GB2312" w:eastAsia="仿宋_GB2312" w:hAnsi="宋体"/>
          <w:bCs/>
          <w:sz w:val="32"/>
          <w:szCs w:val="32"/>
        </w:rPr>
      </w:pPr>
      <w:r w:rsidRPr="00217C23">
        <w:rPr>
          <w:rFonts w:ascii="仿宋_GB2312" w:eastAsia="仿宋_GB2312" w:hAnsi="宋体" w:hint="eastAsia"/>
          <w:bCs/>
          <w:sz w:val="32"/>
          <w:szCs w:val="32"/>
        </w:rPr>
        <w:t>二、工作特色与成效</w:t>
      </w:r>
    </w:p>
    <w:p w:rsidR="00F66134" w:rsidRPr="00217C23" w:rsidRDefault="002E7B0E">
      <w:pPr>
        <w:autoSpaceDE w:val="0"/>
        <w:autoSpaceDN w:val="0"/>
        <w:spacing w:line="540" w:lineRule="exact"/>
        <w:ind w:firstLineChars="200" w:firstLine="640"/>
        <w:rPr>
          <w:rFonts w:ascii="仿宋_GB2312" w:eastAsia="仿宋_GB2312" w:hAnsi="仿宋"/>
          <w:sz w:val="32"/>
          <w:szCs w:val="32"/>
        </w:rPr>
      </w:pPr>
      <w:r w:rsidRPr="00217C23">
        <w:rPr>
          <w:rFonts w:ascii="仿宋_GB2312" w:eastAsia="仿宋_GB2312" w:hAnsi="仿宋" w:hint="eastAsia"/>
          <w:sz w:val="32"/>
          <w:szCs w:val="32"/>
        </w:rPr>
        <w:t>新建一批“校—地—企”深度融合的研究生培养基地。新增闽台作物害虫生态防控国际科技合作基地和国家农业生物安全科学中心华东分中心2个国家级平台；新增害虫生态防控国际合作联合实验室、尤溪洋中蔬菜害虫福建省野外科学观测研究站、省级专业学位研究生联合培养基地3个省部级平台。将生产实践、劳动教育与立德树人有机结合，发挥传帮带优良传统，精心指导青年导师深入田间地头，加强导师队伍理论知识理解和实践技能的提升；构建“三下乡”志愿服务体系，打造研究生支教团、科技小院、科技特派员与乡村振兴相融合的特色品牌。</w:t>
      </w:r>
    </w:p>
    <w:p w:rsidR="00F66134" w:rsidRPr="00217C23" w:rsidRDefault="002E7B0E">
      <w:pPr>
        <w:autoSpaceDE w:val="0"/>
        <w:autoSpaceDN w:val="0"/>
        <w:spacing w:line="540" w:lineRule="exact"/>
        <w:ind w:firstLineChars="200" w:firstLine="640"/>
        <w:rPr>
          <w:rFonts w:ascii="仿宋_GB2312" w:eastAsia="仿宋_GB2312" w:hAnsi="仿宋"/>
          <w:sz w:val="32"/>
          <w:szCs w:val="32"/>
        </w:rPr>
      </w:pPr>
      <w:r w:rsidRPr="00217C23">
        <w:rPr>
          <w:rFonts w:ascii="仿宋_GB2312" w:eastAsia="仿宋_GB2312" w:hAnsi="仿宋" w:hint="eastAsia"/>
          <w:sz w:val="32"/>
          <w:szCs w:val="32"/>
        </w:rPr>
        <w:t>吴建国教授团队以国家水稻产业需求为导向，长期致力于水稻抗病毒种质资源挖掘，依托国家杰出青年科学基金项目和海峡联合基金重点项目等，收集2000余份水稻种质资源及其发病性状，筛选出在田间表现出优良抗性的种质资源8份，为后续深入鉴定及抗性基因的挖掘和抗病毒育种奠定了基础，是植保学科中极具特色的领域，也是对谢联辉院士等老一辈植保人优良传统的传承与发展。吴祖建研究员团队聚焦百香果产业病毒病问题，明确我国南方多省病毒种类及其传播规律，并研制出一套脱毒体系，将快速检测、高温脱毒培育无病毒种苗和微生物菌剂转化应用，建立全省最大的无</w:t>
      </w:r>
      <w:r w:rsidRPr="00217C23">
        <w:rPr>
          <w:rFonts w:ascii="仿宋_GB2312" w:eastAsia="仿宋_GB2312" w:hAnsi="仿宋" w:hint="eastAsia"/>
          <w:sz w:val="32"/>
          <w:szCs w:val="32"/>
        </w:rPr>
        <w:lastRenderedPageBreak/>
        <w:t>病种苗基地和安全种植示范基地，带动8万农户精准</w:t>
      </w:r>
      <w:r w:rsidRPr="00217C23">
        <w:rPr>
          <w:rFonts w:ascii="仿宋_GB2312" w:eastAsia="仿宋_GB2312" w:hAnsi="仿宋" w:hint="eastAsia"/>
          <w:color w:val="000000"/>
          <w:sz w:val="32"/>
          <w:szCs w:val="32"/>
        </w:rPr>
        <w:t>脱贫</w:t>
      </w:r>
      <w:r w:rsidRPr="00217C23">
        <w:rPr>
          <w:rFonts w:ascii="仿宋_GB2312" w:eastAsia="仿宋_GB2312" w:hAnsi="仿宋" w:hint="eastAsia"/>
          <w:sz w:val="32"/>
          <w:szCs w:val="32"/>
        </w:rPr>
        <w:t>，促进百香果50亿元产业发展。</w:t>
      </w:r>
    </w:p>
    <w:p w:rsidR="00F66134" w:rsidRPr="00217C23" w:rsidRDefault="002E7B0E">
      <w:pPr>
        <w:autoSpaceDE w:val="0"/>
        <w:autoSpaceDN w:val="0"/>
        <w:spacing w:line="540" w:lineRule="exact"/>
        <w:ind w:firstLineChars="200" w:firstLine="640"/>
        <w:rPr>
          <w:rFonts w:ascii="仿宋_GB2312" w:eastAsia="仿宋_GB2312" w:hAnsi="仿宋"/>
          <w:sz w:val="32"/>
          <w:szCs w:val="32"/>
        </w:rPr>
      </w:pPr>
      <w:r w:rsidRPr="00217C23">
        <w:rPr>
          <w:rFonts w:ascii="仿宋_GB2312" w:eastAsia="仿宋_GB2312" w:hAnsi="仿宋" w:hint="eastAsia"/>
          <w:sz w:val="32"/>
          <w:szCs w:val="32"/>
        </w:rPr>
        <w:t>传承和弘扬“英</w:t>
      </w:r>
      <w:r w:rsidRPr="00217C23">
        <w:rPr>
          <w:rFonts w:ascii="宋体" w:hAnsi="宋体" w:cs="宋体" w:hint="eastAsia"/>
          <w:sz w:val="32"/>
          <w:szCs w:val="32"/>
        </w:rPr>
        <w:t>龍</w:t>
      </w:r>
      <w:r w:rsidRPr="00217C23">
        <w:rPr>
          <w:rFonts w:ascii="仿宋_GB2312" w:eastAsia="仿宋_GB2312" w:hAnsi="仿宋_GB2312" w:cs="仿宋_GB2312" w:hint="eastAsia"/>
          <w:sz w:val="32"/>
          <w:szCs w:val="32"/>
        </w:rPr>
        <w:t>”精神，举办研究生学术文化节，组织师生拜谒赵修复先生铜像，制作研究生“英</w:t>
      </w:r>
      <w:r w:rsidRPr="00217C23">
        <w:rPr>
          <w:rFonts w:ascii="宋体" w:hAnsi="宋体" w:cs="宋体" w:hint="eastAsia"/>
          <w:sz w:val="32"/>
          <w:szCs w:val="32"/>
        </w:rPr>
        <w:t>龍</w:t>
      </w:r>
      <w:r w:rsidRPr="00217C23">
        <w:rPr>
          <w:rFonts w:ascii="仿宋_GB2312" w:eastAsia="仿宋_GB2312" w:hAnsi="仿宋_GB2312" w:cs="仿宋_GB2312" w:hint="eastAsia"/>
          <w:sz w:val="32"/>
          <w:szCs w:val="32"/>
        </w:rPr>
        <w:t>”奖学金勋章；</w:t>
      </w:r>
      <w:r w:rsidRPr="00217C23">
        <w:rPr>
          <w:rFonts w:ascii="仿宋_GB2312" w:eastAsia="仿宋_GB2312" w:hAnsi="仿宋" w:hint="eastAsia"/>
          <w:sz w:val="32"/>
          <w:szCs w:val="32"/>
        </w:rPr>
        <w:t>召开学院教师节庆祝大会，表彰了优秀导师和优秀学位论文指导老师，向他们颁发学院英</w:t>
      </w:r>
      <w:r w:rsidRPr="00217C23">
        <w:rPr>
          <w:rFonts w:ascii="宋体" w:hAnsi="宋体" w:cs="宋体" w:hint="eastAsia"/>
          <w:sz w:val="32"/>
          <w:szCs w:val="32"/>
        </w:rPr>
        <w:t>龍</w:t>
      </w:r>
      <w:r w:rsidRPr="00217C23">
        <w:rPr>
          <w:rFonts w:ascii="仿宋_GB2312" w:eastAsia="仿宋_GB2312" w:hAnsi="仿宋_GB2312" w:cs="仿宋_GB2312" w:hint="eastAsia"/>
          <w:sz w:val="32"/>
          <w:szCs w:val="32"/>
        </w:rPr>
        <w:t>育才奖牌、英</w:t>
      </w:r>
      <w:r w:rsidRPr="00217C23">
        <w:rPr>
          <w:rFonts w:ascii="宋体" w:hAnsi="宋体" w:cs="宋体" w:hint="eastAsia"/>
          <w:sz w:val="32"/>
          <w:szCs w:val="32"/>
        </w:rPr>
        <w:t>龍</w:t>
      </w:r>
      <w:r w:rsidRPr="00217C23">
        <w:rPr>
          <w:rFonts w:ascii="仿宋_GB2312" w:eastAsia="仿宋_GB2312" w:hAnsi="仿宋_GB2312" w:cs="仿宋_GB2312" w:hint="eastAsia"/>
          <w:sz w:val="32"/>
          <w:szCs w:val="32"/>
        </w:rPr>
        <w:t>专项育才奖牌等，营造了尊师重教、立德树人氛围，不断汇聚正能量。</w:t>
      </w:r>
    </w:p>
    <w:p w:rsidR="00F66134" w:rsidRPr="00217C23" w:rsidRDefault="00F66134">
      <w:pPr>
        <w:autoSpaceDE w:val="0"/>
        <w:autoSpaceDN w:val="0"/>
        <w:spacing w:line="540" w:lineRule="exact"/>
        <w:ind w:firstLineChars="200" w:firstLine="640"/>
        <w:rPr>
          <w:rFonts w:ascii="仿宋_GB2312" w:eastAsia="仿宋_GB2312" w:hAnsi="仿宋"/>
          <w:bCs/>
          <w:sz w:val="32"/>
          <w:szCs w:val="32"/>
        </w:rPr>
      </w:pPr>
    </w:p>
    <w:p w:rsidR="00F66134" w:rsidRPr="00217C23" w:rsidRDefault="002E7B0E">
      <w:pPr>
        <w:spacing w:line="540" w:lineRule="exact"/>
        <w:rPr>
          <w:rFonts w:ascii="仿宋_GB2312" w:eastAsia="仿宋_GB2312" w:hAnsi="宋体"/>
          <w:sz w:val="32"/>
          <w:szCs w:val="32"/>
        </w:rPr>
      </w:pPr>
      <w:r w:rsidRPr="00217C23">
        <w:rPr>
          <w:rFonts w:ascii="仿宋_GB2312" w:eastAsia="仿宋_GB2312" w:hAnsi="宋体" w:hint="eastAsia"/>
          <w:sz w:val="32"/>
          <w:szCs w:val="32"/>
        </w:rPr>
        <w:t>三、学位点建设存在的问题</w:t>
      </w:r>
    </w:p>
    <w:p w:rsidR="00F66134" w:rsidRPr="00217C23" w:rsidRDefault="002E7B0E">
      <w:pPr>
        <w:autoSpaceDE w:val="0"/>
        <w:autoSpaceDN w:val="0"/>
        <w:spacing w:line="540" w:lineRule="exact"/>
        <w:ind w:firstLineChars="200" w:firstLine="640"/>
        <w:rPr>
          <w:rFonts w:ascii="仿宋_GB2312" w:eastAsia="仿宋_GB2312" w:hAnsi="仿宋"/>
          <w:sz w:val="32"/>
          <w:szCs w:val="32"/>
        </w:rPr>
      </w:pPr>
      <w:r w:rsidRPr="00217C23">
        <w:rPr>
          <w:rFonts w:ascii="仿宋_GB2312" w:eastAsia="仿宋_GB2312" w:hAnsi="仿宋" w:hint="eastAsia"/>
          <w:sz w:val="32"/>
          <w:szCs w:val="32"/>
        </w:rPr>
        <w:t>研究生导师队伍有待强化。本年度新增高层次人才和优秀青年导师较少，尤其是中组部青年拔尖人才、省级、国家级教学名师等有待突破。导师团队的优势发挥不够，青年导师培养潜能尚待深入挖掘。</w:t>
      </w:r>
    </w:p>
    <w:p w:rsidR="00F66134" w:rsidRPr="00217C23" w:rsidRDefault="002E7B0E" w:rsidP="00217C23">
      <w:pPr>
        <w:autoSpaceDE w:val="0"/>
        <w:autoSpaceDN w:val="0"/>
        <w:spacing w:line="540" w:lineRule="exact"/>
        <w:ind w:firstLineChars="200" w:firstLine="640"/>
        <w:rPr>
          <w:rFonts w:ascii="仿宋_GB2312" w:eastAsia="仿宋_GB2312" w:hAnsi="仿宋"/>
          <w:sz w:val="32"/>
          <w:szCs w:val="32"/>
        </w:rPr>
      </w:pPr>
      <w:r w:rsidRPr="00217C23">
        <w:rPr>
          <w:rFonts w:ascii="仿宋_GB2312" w:eastAsia="仿宋_GB2312" w:hAnsi="仿宋" w:hint="eastAsia"/>
          <w:sz w:val="32"/>
          <w:szCs w:val="32"/>
        </w:rPr>
        <w:t>研究生教育评价体系有待完善。依照《深化新时代教育评价改革总体方案》和《关于加快新时代研究生教育改革发展的意见》要求，学位点仍有许多工作有待改革推进，如：在招生环节，如何评估考生的创新能力，筛选出高质量的学生；如何在培养环节更有效地提升研究生的创新能力；破除“唯论文”后，研究生培养质量的评价体系如何多元化和量化等。</w:t>
      </w:r>
    </w:p>
    <w:p w:rsidR="00F66134" w:rsidRPr="00217C23" w:rsidRDefault="002E7B0E">
      <w:pPr>
        <w:spacing w:line="540" w:lineRule="exact"/>
        <w:rPr>
          <w:rFonts w:ascii="仿宋_GB2312" w:eastAsia="仿宋_GB2312" w:hAnsi="宋体"/>
          <w:sz w:val="32"/>
          <w:szCs w:val="32"/>
        </w:rPr>
      </w:pPr>
      <w:r w:rsidRPr="00217C23">
        <w:rPr>
          <w:rFonts w:ascii="仿宋_GB2312" w:eastAsia="仿宋_GB2312" w:hAnsi="宋体" w:hint="eastAsia"/>
          <w:sz w:val="32"/>
          <w:szCs w:val="32"/>
        </w:rPr>
        <w:t>四、下一年度建设计划</w:t>
      </w:r>
    </w:p>
    <w:p w:rsidR="00F66134" w:rsidRPr="00217C23" w:rsidRDefault="002E7B0E">
      <w:pPr>
        <w:autoSpaceDE w:val="0"/>
        <w:autoSpaceDN w:val="0"/>
        <w:spacing w:line="540" w:lineRule="exact"/>
        <w:ind w:firstLineChars="200" w:firstLine="640"/>
        <w:rPr>
          <w:rFonts w:ascii="仿宋_GB2312" w:eastAsia="仿宋_GB2312" w:hAnsi="仿宋"/>
          <w:sz w:val="32"/>
          <w:szCs w:val="32"/>
        </w:rPr>
      </w:pPr>
      <w:r w:rsidRPr="00217C23">
        <w:rPr>
          <w:rFonts w:ascii="仿宋_GB2312" w:eastAsia="仿宋_GB2312" w:hAnsi="仿宋" w:hint="eastAsia"/>
          <w:sz w:val="32"/>
          <w:szCs w:val="32"/>
        </w:rPr>
        <w:t>加强研究生队伍建设。强化潜心育人理念，加强人才培养、人才引进以及导师团队建设。继续将团队</w:t>
      </w:r>
      <w:r w:rsidRPr="00217C23">
        <w:rPr>
          <w:rFonts w:ascii="仿宋_GB2312" w:eastAsia="仿宋_GB2312" w:hAnsi="仿宋" w:hint="eastAsia"/>
          <w:color w:val="000000"/>
          <w:sz w:val="32"/>
          <w:szCs w:val="32"/>
        </w:rPr>
        <w:t>战略</w:t>
      </w:r>
      <w:r w:rsidRPr="00217C23">
        <w:rPr>
          <w:rFonts w:ascii="仿宋_GB2312" w:eastAsia="仿宋_GB2312" w:hAnsi="仿宋" w:hint="eastAsia"/>
          <w:sz w:val="32"/>
          <w:szCs w:val="32"/>
        </w:rPr>
        <w:t>作为提升学科核心竞争力的重要内容，聚焦青年导师培养优秀研究生，</w:t>
      </w:r>
      <w:r w:rsidRPr="00217C23">
        <w:rPr>
          <w:rFonts w:ascii="仿宋_GB2312" w:eastAsia="仿宋_GB2312" w:hAnsi="仿宋" w:hint="eastAsia"/>
          <w:sz w:val="32"/>
          <w:szCs w:val="32"/>
        </w:rPr>
        <w:lastRenderedPageBreak/>
        <w:t>支持博硕士申报和实施优秀博士和硕士学位论文资助计划。</w:t>
      </w:r>
    </w:p>
    <w:p w:rsidR="00F66134" w:rsidRPr="00217C23" w:rsidRDefault="002E7B0E" w:rsidP="00F66134">
      <w:pPr>
        <w:spacing w:line="540" w:lineRule="exact"/>
        <w:ind w:firstLineChars="199" w:firstLine="637"/>
        <w:rPr>
          <w:rFonts w:ascii="仿宋_GB2312" w:eastAsia="仿宋_GB2312" w:hAnsi="仿宋"/>
          <w:bCs/>
          <w:sz w:val="32"/>
          <w:szCs w:val="32"/>
        </w:rPr>
      </w:pPr>
      <w:r w:rsidRPr="00217C23">
        <w:rPr>
          <w:rFonts w:ascii="仿宋_GB2312" w:eastAsia="仿宋_GB2312" w:hAnsi="仿宋" w:hint="eastAsia"/>
          <w:bCs/>
          <w:sz w:val="32"/>
          <w:szCs w:val="32"/>
        </w:rPr>
        <w:t>加强研究生教育改革研究，督促导师一手抓研究生教育，一手抓研究生教学和培养改革研究，制定激励措施，大力推动研究生导师的教学和培养改革研究。只有持续不断改进教学和评价体系，才能持续不断地提升研究生教育水平。</w:t>
      </w:r>
    </w:p>
    <w:sectPr w:rsidR="00F66134" w:rsidRPr="00217C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483" w:rsidRDefault="00F55483" w:rsidP="00217C23">
      <w:r>
        <w:separator/>
      </w:r>
    </w:p>
  </w:endnote>
  <w:endnote w:type="continuationSeparator" w:id="0">
    <w:p w:rsidR="00F55483" w:rsidRDefault="00F55483" w:rsidP="0021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宋体"/>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483" w:rsidRDefault="00F55483" w:rsidP="00217C23">
      <w:r>
        <w:separator/>
      </w:r>
    </w:p>
  </w:footnote>
  <w:footnote w:type="continuationSeparator" w:id="0">
    <w:p w:rsidR="00F55483" w:rsidRDefault="00F55483" w:rsidP="00217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B749A"/>
    <w:multiLevelType w:val="multilevel"/>
    <w:tmpl w:val="2F5B749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1AE04D7"/>
    <w:multiLevelType w:val="singleLevel"/>
    <w:tmpl w:val="61AE04D7"/>
    <w:lvl w:ilvl="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091A"/>
    <w:rsid w:val="8FDD3C8A"/>
    <w:rsid w:val="AEB6C644"/>
    <w:rsid w:val="B097A503"/>
    <w:rsid w:val="BDFC7582"/>
    <w:rsid w:val="BEF79EAE"/>
    <w:rsid w:val="BF3FA7F8"/>
    <w:rsid w:val="BFF7573E"/>
    <w:rsid w:val="CBFFC4C6"/>
    <w:rsid w:val="CFEFC043"/>
    <w:rsid w:val="D6EF4C18"/>
    <w:rsid w:val="DD9A6760"/>
    <w:rsid w:val="DDBE078C"/>
    <w:rsid w:val="DFBC17B5"/>
    <w:rsid w:val="EFAFF066"/>
    <w:rsid w:val="F5BA343E"/>
    <w:rsid w:val="FBD7F135"/>
    <w:rsid w:val="FBF61885"/>
    <w:rsid w:val="FC7F9D6E"/>
    <w:rsid w:val="FD7EA895"/>
    <w:rsid w:val="FEE95BDC"/>
    <w:rsid w:val="FF7F514D"/>
    <w:rsid w:val="FFF52530"/>
    <w:rsid w:val="FFF77520"/>
    <w:rsid w:val="FFFF76B6"/>
    <w:rsid w:val="00000340"/>
    <w:rsid w:val="00012094"/>
    <w:rsid w:val="00035812"/>
    <w:rsid w:val="000446D2"/>
    <w:rsid w:val="0009269D"/>
    <w:rsid w:val="000D3934"/>
    <w:rsid w:val="00102FAE"/>
    <w:rsid w:val="001241B2"/>
    <w:rsid w:val="00136F1B"/>
    <w:rsid w:val="00165EEF"/>
    <w:rsid w:val="001F0BE5"/>
    <w:rsid w:val="00217C23"/>
    <w:rsid w:val="0027348D"/>
    <w:rsid w:val="002836DC"/>
    <w:rsid w:val="002B1EFB"/>
    <w:rsid w:val="002B7A65"/>
    <w:rsid w:val="002E7B0E"/>
    <w:rsid w:val="002F46B9"/>
    <w:rsid w:val="002F6892"/>
    <w:rsid w:val="003203E2"/>
    <w:rsid w:val="003556EC"/>
    <w:rsid w:val="003B61E3"/>
    <w:rsid w:val="003B6210"/>
    <w:rsid w:val="003F2B0F"/>
    <w:rsid w:val="004305A9"/>
    <w:rsid w:val="00470740"/>
    <w:rsid w:val="00492B4E"/>
    <w:rsid w:val="004D2F7B"/>
    <w:rsid w:val="004E07AA"/>
    <w:rsid w:val="004F56D8"/>
    <w:rsid w:val="00534889"/>
    <w:rsid w:val="00534EDC"/>
    <w:rsid w:val="005541A0"/>
    <w:rsid w:val="0057015C"/>
    <w:rsid w:val="005733E6"/>
    <w:rsid w:val="005A1BE9"/>
    <w:rsid w:val="005C09B5"/>
    <w:rsid w:val="005E6E9D"/>
    <w:rsid w:val="0063038B"/>
    <w:rsid w:val="00642537"/>
    <w:rsid w:val="00650F91"/>
    <w:rsid w:val="00676110"/>
    <w:rsid w:val="00687A02"/>
    <w:rsid w:val="006A26B1"/>
    <w:rsid w:val="006B2306"/>
    <w:rsid w:val="006C210F"/>
    <w:rsid w:val="006C7586"/>
    <w:rsid w:val="006D650E"/>
    <w:rsid w:val="006D715E"/>
    <w:rsid w:val="006E0FE3"/>
    <w:rsid w:val="006F0055"/>
    <w:rsid w:val="007266F2"/>
    <w:rsid w:val="00752249"/>
    <w:rsid w:val="00755764"/>
    <w:rsid w:val="00770F40"/>
    <w:rsid w:val="007915F2"/>
    <w:rsid w:val="007A7113"/>
    <w:rsid w:val="007C091A"/>
    <w:rsid w:val="007F2B98"/>
    <w:rsid w:val="008407E7"/>
    <w:rsid w:val="00873D7F"/>
    <w:rsid w:val="00882ACF"/>
    <w:rsid w:val="00921A57"/>
    <w:rsid w:val="00921ADF"/>
    <w:rsid w:val="00921DEA"/>
    <w:rsid w:val="00944D54"/>
    <w:rsid w:val="009C69B4"/>
    <w:rsid w:val="009E2543"/>
    <w:rsid w:val="009E4F57"/>
    <w:rsid w:val="009E776B"/>
    <w:rsid w:val="00A02AE2"/>
    <w:rsid w:val="00A16B6F"/>
    <w:rsid w:val="00A17156"/>
    <w:rsid w:val="00A36E1D"/>
    <w:rsid w:val="00A51DEA"/>
    <w:rsid w:val="00A730CE"/>
    <w:rsid w:val="00AA5705"/>
    <w:rsid w:val="00AC0771"/>
    <w:rsid w:val="00AC5316"/>
    <w:rsid w:val="00B10064"/>
    <w:rsid w:val="00B15740"/>
    <w:rsid w:val="00B50796"/>
    <w:rsid w:val="00B53C58"/>
    <w:rsid w:val="00B818A8"/>
    <w:rsid w:val="00C575B4"/>
    <w:rsid w:val="00C61AD9"/>
    <w:rsid w:val="00C94C74"/>
    <w:rsid w:val="00CC7B6A"/>
    <w:rsid w:val="00CE3D4F"/>
    <w:rsid w:val="00D4446E"/>
    <w:rsid w:val="00D528C5"/>
    <w:rsid w:val="00D862C6"/>
    <w:rsid w:val="00D91D30"/>
    <w:rsid w:val="00DC5FCB"/>
    <w:rsid w:val="00E279F3"/>
    <w:rsid w:val="00E36096"/>
    <w:rsid w:val="00E7411E"/>
    <w:rsid w:val="00E8104C"/>
    <w:rsid w:val="00EB7D9D"/>
    <w:rsid w:val="00EC1F9B"/>
    <w:rsid w:val="00EC5345"/>
    <w:rsid w:val="00ED12F8"/>
    <w:rsid w:val="00F00876"/>
    <w:rsid w:val="00F10884"/>
    <w:rsid w:val="00F42762"/>
    <w:rsid w:val="00F55483"/>
    <w:rsid w:val="00F66134"/>
    <w:rsid w:val="00F87987"/>
    <w:rsid w:val="00F96B32"/>
    <w:rsid w:val="0FFF6AF9"/>
    <w:rsid w:val="1FEEB7D5"/>
    <w:rsid w:val="27BE63F0"/>
    <w:rsid w:val="2CFE5401"/>
    <w:rsid w:val="35FBA4B8"/>
    <w:rsid w:val="3DFB5B97"/>
    <w:rsid w:val="3F9DE0A8"/>
    <w:rsid w:val="4DFA7E97"/>
    <w:rsid w:val="53DF69AA"/>
    <w:rsid w:val="575F12E8"/>
    <w:rsid w:val="5BF1CD89"/>
    <w:rsid w:val="5DDFCE0A"/>
    <w:rsid w:val="5EEEC7A4"/>
    <w:rsid w:val="6BAF9C58"/>
    <w:rsid w:val="6D1D4663"/>
    <w:rsid w:val="79FF6FBE"/>
    <w:rsid w:val="7AFF177C"/>
    <w:rsid w:val="7BAF11FA"/>
    <w:rsid w:val="7BE7364D"/>
    <w:rsid w:val="7CFF2EA9"/>
    <w:rsid w:val="7E53C3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Emphasis"/>
    <w:basedOn w:val="a0"/>
    <w:uiPriority w:val="20"/>
    <w:qFormat/>
    <w:rPr>
      <w:i/>
    </w:rPr>
  </w:style>
  <w:style w:type="character" w:styleId="a9">
    <w:name w:val="annotation reference"/>
    <w:basedOn w:val="a0"/>
    <w:uiPriority w:val="99"/>
    <w:unhideWhenUsed/>
    <w:qFormat/>
    <w:rPr>
      <w:sz w:val="21"/>
      <w:szCs w:val="21"/>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paragraph" w:customStyle="1" w:styleId="2">
    <w:name w:val="标准2"/>
    <w:basedOn w:val="a"/>
    <w:uiPriority w:val="99"/>
    <w:qFormat/>
    <w:pPr>
      <w:adjustRightInd w:val="0"/>
      <w:spacing w:before="120" w:after="120" w:line="312" w:lineRule="atLeast"/>
      <w:textAlignment w:val="baseline"/>
    </w:pPr>
    <w:rPr>
      <w:rFonts w:ascii="宋体" w:hAnsi="Times New Roman"/>
      <w:kern w:val="0"/>
      <w:szCs w:val="20"/>
    </w:rPr>
  </w:style>
  <w:style w:type="character" w:customStyle="1" w:styleId="Char3">
    <w:name w:val="页眉 Char"/>
    <w:basedOn w:val="a0"/>
    <w:link w:val="a7"/>
    <w:uiPriority w:val="99"/>
    <w:qFormat/>
    <w:rPr>
      <w:rFonts w:ascii="Calibri" w:hAnsi="Calibri"/>
      <w:kern w:val="2"/>
      <w:sz w:val="18"/>
      <w:szCs w:val="18"/>
    </w:rPr>
  </w:style>
  <w:style w:type="character" w:customStyle="1" w:styleId="Char2">
    <w:name w:val="页脚 Char"/>
    <w:basedOn w:val="a0"/>
    <w:link w:val="a6"/>
    <w:uiPriority w:val="99"/>
    <w:qFormat/>
    <w:rPr>
      <w:rFonts w:ascii="Calibri" w:hAnsi="Calibri"/>
      <w:kern w:val="2"/>
      <w:sz w:val="18"/>
      <w:szCs w:val="18"/>
    </w:rPr>
  </w:style>
  <w:style w:type="paragraph" w:customStyle="1" w:styleId="20">
    <w:name w:val="列出段落2"/>
    <w:basedOn w:val="a"/>
    <w:uiPriority w:val="99"/>
    <w:qFormat/>
    <w:pPr>
      <w:ind w:firstLineChars="200" w:firstLine="420"/>
    </w:pPr>
  </w:style>
  <w:style w:type="character" w:customStyle="1" w:styleId="Char1">
    <w:name w:val="批注框文本 Char"/>
    <w:basedOn w:val="a0"/>
    <w:link w:val="a5"/>
    <w:uiPriority w:val="99"/>
    <w:semiHidden/>
    <w:qFormat/>
    <w:rPr>
      <w:rFonts w:ascii="Calibri" w:hAnsi="Calibri"/>
      <w:kern w:val="2"/>
      <w:sz w:val="18"/>
      <w:szCs w:val="18"/>
    </w:rPr>
  </w:style>
  <w:style w:type="paragraph" w:customStyle="1" w:styleId="10">
    <w:name w:val="修订1"/>
    <w:hidden/>
    <w:uiPriority w:val="99"/>
    <w:semiHidden/>
    <w:qFormat/>
    <w:rPr>
      <w:rFonts w:ascii="Calibri" w:hAnsi="Calibri"/>
      <w:kern w:val="2"/>
      <w:sz w:val="21"/>
      <w:szCs w:val="22"/>
    </w:rPr>
  </w:style>
  <w:style w:type="character" w:customStyle="1" w:styleId="Char0">
    <w:name w:val="批注文字 Char"/>
    <w:basedOn w:val="a0"/>
    <w:link w:val="a4"/>
    <w:uiPriority w:val="99"/>
    <w:semiHidden/>
    <w:qFormat/>
    <w:rPr>
      <w:rFonts w:ascii="Calibri" w:hAnsi="Calibri"/>
      <w:kern w:val="2"/>
      <w:sz w:val="21"/>
      <w:szCs w:val="22"/>
    </w:rPr>
  </w:style>
  <w:style w:type="character" w:customStyle="1" w:styleId="Char">
    <w:name w:val="批注主题 Char"/>
    <w:basedOn w:val="Char0"/>
    <w:link w:val="a3"/>
    <w:uiPriority w:val="99"/>
    <w:semiHidden/>
    <w:qFormat/>
    <w:rPr>
      <w:rFonts w:ascii="Calibri" w:hAnsi="Calibri"/>
      <w:b/>
      <w:bCs/>
      <w:kern w:val="2"/>
      <w:sz w:val="21"/>
      <w:szCs w:val="22"/>
    </w:rPr>
  </w:style>
  <w:style w:type="paragraph" w:customStyle="1" w:styleId="11">
    <w:name w:val="列表段落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B97678-C749-4BC2-B178-AA6F4C7D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3982</Words>
  <Characters>4261</Characters>
  <Application>Microsoft Office Word</Application>
  <DocSecurity>0</DocSecurity>
  <Lines>266</Lines>
  <Paragraphs>196</Paragraphs>
  <ScaleCrop>false</ScaleCrop>
  <Company>Microsoft</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dc:creator>
  <cp:lastModifiedBy>刘丹玲</cp:lastModifiedBy>
  <cp:revision>20</cp:revision>
  <dcterms:created xsi:type="dcterms:W3CDTF">2021-12-12T02:15:00Z</dcterms:created>
  <dcterms:modified xsi:type="dcterms:W3CDTF">2022-09-27T09:01:00Z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2052-3.9.5.6394</vt:lpwstr>
  </property>
</Properties>
</file>