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8"/>
          <w:szCs w:val="56"/>
        </w:rPr>
      </w:pPr>
    </w:p>
    <w:p>
      <w:pPr>
        <w:rPr>
          <w:rFonts w:ascii="黑体" w:hAnsi="黑体" w:eastAsia="黑体" w:cs="黑体"/>
          <w:sz w:val="48"/>
          <w:szCs w:val="56"/>
        </w:rPr>
      </w:pPr>
    </w:p>
    <w:p>
      <w:pPr>
        <w:rPr>
          <w:rFonts w:ascii="黑体" w:hAnsi="黑体" w:eastAsia="黑体" w:cs="黑体"/>
          <w:sz w:val="48"/>
          <w:szCs w:val="56"/>
        </w:rPr>
      </w:pPr>
    </w:p>
    <w:p>
      <w:pPr>
        <w:ind w:firstLine="522" w:firstLineChars="100"/>
        <w:jc w:val="center"/>
        <w:rPr>
          <w:rFonts w:hint="eastAsia" w:ascii="黑体" w:hAnsi="黑体" w:eastAsia="黑体" w:cs="黑体"/>
          <w:sz w:val="52"/>
          <w:szCs w:val="52"/>
        </w:rPr>
      </w:pPr>
      <w:r>
        <w:rPr>
          <w:rFonts w:hint="eastAsia" w:ascii="黑体" w:hAnsi="黑体" w:eastAsia="黑体" w:cs="黑体"/>
          <w:b/>
          <w:bCs/>
          <w:sz w:val="52"/>
          <w:szCs w:val="52"/>
        </w:rPr>
        <w:t>学位授权点建设年度报告</w:t>
      </w:r>
    </w:p>
    <w:p>
      <w:pPr>
        <w:jc w:val="center"/>
        <w:rPr>
          <w:rFonts w:ascii="楷体" w:hAnsi="楷体" w:eastAsia="楷体" w:cs="楷体"/>
          <w:sz w:val="28"/>
          <w:szCs w:val="36"/>
        </w:rPr>
      </w:pPr>
      <w:r>
        <w:rPr>
          <w:rFonts w:hint="eastAsia" w:ascii="楷体" w:hAnsi="楷体" w:eastAsia="楷体" w:cs="楷体"/>
          <w:sz w:val="28"/>
          <w:szCs w:val="36"/>
        </w:rPr>
        <w:t>（</w:t>
      </w:r>
      <w:r>
        <w:rPr>
          <w:rFonts w:hint="eastAsia" w:ascii="楷体" w:hAnsi="楷体" w:eastAsia="楷体" w:cs="宋体"/>
          <w:sz w:val="28"/>
          <w:szCs w:val="28"/>
        </w:rPr>
        <w:t>2021年）</w:t>
      </w:r>
    </w:p>
    <w:p/>
    <w:p/>
    <w:p/>
    <w:p/>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61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restart"/>
            <w:shd w:val="clear" w:color="auto" w:fill="auto"/>
            <w:vAlign w:val="center"/>
          </w:tcPr>
          <w:p>
            <w:pPr>
              <w:jc w:val="center"/>
              <w:rPr>
                <w:rFonts w:ascii="仿宋" w:hAnsi="仿宋" w:eastAsia="仿宋" w:cs="楷体"/>
                <w:sz w:val="32"/>
                <w:szCs w:val="32"/>
              </w:rPr>
            </w:pPr>
            <w:r>
              <w:rPr>
                <w:rFonts w:hint="eastAsia" w:ascii="楷体" w:hAnsi="楷体" w:eastAsia="楷体" w:cs="楷体"/>
                <w:sz w:val="28"/>
                <w:szCs w:val="36"/>
              </w:rPr>
              <w:t xml:space="preserve">        </w:t>
            </w:r>
            <w:r>
              <w:rPr>
                <w:rFonts w:hint="eastAsia" w:ascii="楷体" w:hAnsi="楷体" w:eastAsia="楷体" w:cs="楷体"/>
                <w:sz w:val="28"/>
                <w:szCs w:val="28"/>
              </w:rPr>
              <w:t>学位授予单位</w:t>
            </w:r>
          </w:p>
        </w:tc>
        <w:tc>
          <w:tcPr>
            <w:tcW w:w="3618" w:type="dxa"/>
            <w:shd w:val="clear" w:color="auto" w:fill="auto"/>
          </w:tcPr>
          <w:p>
            <w:pPr>
              <w:rPr>
                <w:rFonts w:ascii="仿宋" w:hAnsi="仿宋" w:eastAsia="仿宋" w:cs="楷体"/>
                <w:sz w:val="36"/>
                <w:szCs w:val="36"/>
              </w:rPr>
            </w:pPr>
            <w:r>
              <w:rPr>
                <w:rFonts w:hint="eastAsia" w:ascii="楷体" w:hAnsi="楷体" w:eastAsia="楷体" w:cs="楷体"/>
                <w:sz w:val="28"/>
                <w:szCs w:val="28"/>
              </w:rPr>
              <w:t>名称</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rPr>
                <w:rFonts w:ascii="楷体" w:hAnsi="楷体" w:eastAsia="楷体" w:cs="楷体"/>
                <w:sz w:val="28"/>
                <w:szCs w:val="36"/>
              </w:rPr>
            </w:pPr>
          </w:p>
        </w:tc>
        <w:tc>
          <w:tcPr>
            <w:tcW w:w="3618" w:type="dxa"/>
            <w:shd w:val="clear" w:color="auto" w:fill="auto"/>
          </w:tcPr>
          <w:p>
            <w:pPr>
              <w:rPr>
                <w:rFonts w:ascii="仿宋" w:hAnsi="仿宋" w:eastAsia="仿宋" w:cs="楷体"/>
                <w:sz w:val="36"/>
                <w:szCs w:val="36"/>
              </w:rPr>
            </w:pPr>
            <w:r>
              <w:rPr>
                <w:rFonts w:hint="eastAsia" w:ascii="楷体" w:hAnsi="楷体" w:eastAsia="楷体" w:cs="楷体"/>
                <w:sz w:val="28"/>
                <w:szCs w:val="28"/>
              </w:rPr>
              <w:t>代码</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10389</w:t>
            </w:r>
          </w:p>
        </w:tc>
      </w:tr>
    </w:tbl>
    <w:p>
      <w:pPr>
        <w:rPr>
          <w:rFonts w:ascii="楷体" w:hAnsi="楷体" w:eastAsia="楷体" w:cs="楷体"/>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08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restart"/>
            <w:shd w:val="clear" w:color="auto" w:fill="auto"/>
            <w:vAlign w:val="center"/>
          </w:tcPr>
          <w:p>
            <w:pPr>
              <w:jc w:val="center"/>
              <w:rPr>
                <w:rFonts w:hint="eastAsia" w:ascii="楷体" w:hAnsi="楷体" w:eastAsia="楷体" w:cs="楷体"/>
                <w:sz w:val="28"/>
                <w:szCs w:val="36"/>
              </w:rPr>
            </w:pPr>
            <w:r>
              <w:rPr>
                <w:rFonts w:hint="eastAsia" w:ascii="楷体" w:hAnsi="楷体" w:eastAsia="楷体" w:cs="楷体"/>
                <w:sz w:val="28"/>
                <w:szCs w:val="36"/>
              </w:rPr>
              <w:t xml:space="preserve">           授权学科</w:t>
            </w:r>
          </w:p>
          <w:p>
            <w:pPr>
              <w:jc w:val="center"/>
              <w:rPr>
                <w:rFonts w:hint="eastAsia" w:ascii="楷体" w:hAnsi="楷体" w:eastAsia="楷体" w:cs="楷体"/>
                <w:sz w:val="28"/>
                <w:szCs w:val="36"/>
              </w:rPr>
            </w:pPr>
            <w:r>
              <w:rPr>
                <w:rFonts w:hint="eastAsia" w:ascii="楷体" w:hAnsi="楷体" w:eastAsia="楷体" w:cs="楷体"/>
                <w:sz w:val="28"/>
                <w:szCs w:val="36"/>
              </w:rPr>
              <w:t xml:space="preserve">          （类别）</w:t>
            </w:r>
          </w:p>
        </w:tc>
        <w:tc>
          <w:tcPr>
            <w:tcW w:w="3083" w:type="dxa"/>
            <w:shd w:val="clear" w:color="auto" w:fill="auto"/>
          </w:tcPr>
          <w:p>
            <w:pPr>
              <w:jc w:val="both"/>
              <w:rPr>
                <w:rFonts w:hint="eastAsia" w:ascii="楷体" w:hAnsi="楷体" w:eastAsia="楷体" w:cs="楷体"/>
                <w:sz w:val="28"/>
                <w:szCs w:val="36"/>
              </w:rPr>
            </w:pPr>
            <w:r>
              <w:rPr>
                <w:rFonts w:hint="eastAsia" w:ascii="楷体" w:hAnsi="楷体" w:eastAsia="楷体" w:cs="楷体"/>
                <w:sz w:val="28"/>
                <w:szCs w:val="36"/>
              </w:rPr>
              <w:t>名称</w:t>
            </w:r>
            <w:r>
              <w:rPr>
                <w:rFonts w:hint="eastAsia" w:ascii="楷体" w:hAnsi="楷体" w:eastAsia="楷体" w:cs="楷体"/>
                <w:sz w:val="28"/>
                <w:szCs w:val="36"/>
                <w:lang w:val="en-US" w:eastAsia="zh-CN"/>
              </w:rPr>
              <w:t xml:space="preserve">  </w:t>
            </w:r>
            <w:r>
              <w:rPr>
                <w:rFonts w:hint="eastAsia" w:ascii="楷体" w:hAnsi="楷体" w:eastAsia="楷体" w:cs="楷体"/>
                <w:sz w:val="28"/>
                <w:szCs w:val="36"/>
              </w:rPr>
              <w:t>林 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jc w:val="center"/>
              <w:rPr>
                <w:rFonts w:hint="eastAsia" w:ascii="楷体" w:hAnsi="楷体" w:eastAsia="楷体" w:cs="楷体"/>
                <w:sz w:val="28"/>
                <w:szCs w:val="36"/>
              </w:rPr>
            </w:pPr>
          </w:p>
        </w:tc>
        <w:tc>
          <w:tcPr>
            <w:tcW w:w="3083" w:type="dxa"/>
            <w:shd w:val="clear" w:color="auto" w:fill="auto"/>
          </w:tcPr>
          <w:p>
            <w:pPr>
              <w:jc w:val="both"/>
              <w:rPr>
                <w:rFonts w:hint="eastAsia" w:ascii="楷体" w:hAnsi="楷体" w:eastAsia="楷体" w:cs="楷体"/>
                <w:sz w:val="28"/>
                <w:szCs w:val="36"/>
              </w:rPr>
            </w:pPr>
            <w:r>
              <w:rPr>
                <w:rFonts w:hint="eastAsia" w:ascii="楷体" w:hAnsi="楷体" w:eastAsia="楷体" w:cs="楷体"/>
                <w:sz w:val="28"/>
                <w:szCs w:val="36"/>
              </w:rPr>
              <w:t>代码</w:t>
            </w:r>
            <w:r>
              <w:rPr>
                <w:rFonts w:hint="eastAsia" w:ascii="楷体" w:hAnsi="楷体" w:eastAsia="楷体" w:cs="楷体"/>
                <w:sz w:val="28"/>
                <w:szCs w:val="36"/>
                <w:lang w:val="en-US" w:eastAsia="zh-CN"/>
              </w:rPr>
              <w:t xml:space="preserve">  </w:t>
            </w:r>
            <w:r>
              <w:rPr>
                <w:rFonts w:hint="eastAsia" w:ascii="楷体" w:hAnsi="楷体" w:eastAsia="楷体" w:cs="楷体"/>
                <w:sz w:val="28"/>
                <w:szCs w:val="36"/>
              </w:rPr>
              <w:t>0907</w:t>
            </w:r>
          </w:p>
        </w:tc>
      </w:tr>
    </w:tbl>
    <w:p>
      <w:pPr>
        <w:rPr>
          <w:rFonts w:ascii="楷体" w:hAnsi="楷体" w:eastAsia="楷体" w:cs="楷体"/>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09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restart"/>
            <w:shd w:val="clear" w:color="auto" w:fill="auto"/>
            <w:vAlign w:val="center"/>
          </w:tcPr>
          <w:p>
            <w:pPr>
              <w:jc w:val="center"/>
              <w:rPr>
                <w:rFonts w:hint="eastAsia" w:ascii="楷体" w:hAnsi="楷体" w:eastAsia="楷体" w:cs="楷体"/>
                <w:sz w:val="28"/>
                <w:szCs w:val="36"/>
              </w:rPr>
            </w:pPr>
            <w:r>
              <w:rPr>
                <w:rFonts w:hint="eastAsia" w:ascii="楷体" w:hAnsi="楷体" w:eastAsia="楷体" w:cs="楷体"/>
                <w:sz w:val="28"/>
                <w:szCs w:val="36"/>
              </w:rPr>
              <w:t xml:space="preserve">          授权级别</w:t>
            </w:r>
          </w:p>
        </w:tc>
        <w:tc>
          <w:tcPr>
            <w:tcW w:w="3098" w:type="dxa"/>
            <w:shd w:val="clear" w:color="auto" w:fill="auto"/>
          </w:tcPr>
          <w:p>
            <w:pPr>
              <w:jc w:val="both"/>
              <w:rPr>
                <w:rFonts w:hint="eastAsia" w:ascii="楷体" w:hAnsi="楷体" w:eastAsia="楷体" w:cs="楷体"/>
                <w:sz w:val="28"/>
                <w:szCs w:val="36"/>
              </w:rPr>
            </w:pPr>
            <w:r>
              <w:rPr>
                <w:rFonts w:hint="eastAsia" w:ascii="楷体" w:hAnsi="楷体" w:eastAsia="楷体" w:cs="楷体"/>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jc w:val="center"/>
              <w:rPr>
                <w:rFonts w:hint="eastAsia" w:ascii="楷体" w:hAnsi="楷体" w:eastAsia="楷体" w:cs="楷体"/>
                <w:sz w:val="28"/>
                <w:szCs w:val="36"/>
              </w:rPr>
            </w:pPr>
          </w:p>
        </w:tc>
        <w:tc>
          <w:tcPr>
            <w:tcW w:w="3098" w:type="dxa"/>
            <w:shd w:val="clear" w:color="auto" w:fill="auto"/>
          </w:tcPr>
          <w:p>
            <w:pPr>
              <w:jc w:val="both"/>
              <w:rPr>
                <w:rFonts w:hint="eastAsia" w:ascii="楷体" w:hAnsi="楷体" w:eastAsia="楷体" w:cs="楷体"/>
                <w:sz w:val="28"/>
                <w:szCs w:val="36"/>
              </w:rPr>
            </w:pPr>
            <w:r>
              <w:rPr>
                <w:rFonts w:hint="eastAsia" w:ascii="楷体" w:hAnsi="楷体" w:eastAsia="楷体" w:cs="楷体"/>
                <w:sz w:val="28"/>
                <w:szCs w:val="36"/>
                <w:lang w:eastAsia="zh-CN"/>
              </w:rPr>
              <w:t>□</w:t>
            </w:r>
            <w:r>
              <w:rPr>
                <w:rFonts w:hint="eastAsia" w:ascii="楷体" w:hAnsi="楷体" w:eastAsia="楷体" w:cs="楷体"/>
                <w:sz w:val="28"/>
                <w:szCs w:val="36"/>
              </w:rPr>
              <w:t xml:space="preserve"> 硕士</w:t>
            </w:r>
          </w:p>
        </w:tc>
      </w:tr>
    </w:tbl>
    <w:p>
      <w:pPr>
        <w:rPr>
          <w:rFonts w:ascii="楷体" w:hAnsi="楷体" w:eastAsia="楷体" w:cs="楷体"/>
          <w:sz w:val="28"/>
          <w:szCs w:val="36"/>
        </w:rPr>
      </w:pPr>
    </w:p>
    <w:p>
      <w:pPr>
        <w:jc w:val="center"/>
        <w:rPr>
          <w:rFonts w:ascii="楷体" w:hAnsi="楷体" w:eastAsia="楷体" w:cs="楷体"/>
          <w:sz w:val="36"/>
          <w:szCs w:val="44"/>
        </w:rPr>
      </w:pPr>
    </w:p>
    <w:p>
      <w:pPr>
        <w:jc w:val="center"/>
        <w:rPr>
          <w:rFonts w:hint="eastAsia" w:ascii="楷体" w:hAnsi="楷体" w:eastAsia="楷体" w:cs="楷体"/>
          <w:sz w:val="28"/>
          <w:szCs w:val="28"/>
        </w:rPr>
      </w:pPr>
      <w:r>
        <w:rPr>
          <w:rFonts w:hint="eastAsia" w:ascii="楷体" w:hAnsi="楷体" w:eastAsia="楷体" w:cs="楷体"/>
          <w:sz w:val="28"/>
          <w:szCs w:val="28"/>
        </w:rPr>
        <w:t>2022年</w:t>
      </w:r>
      <w:r>
        <w:rPr>
          <w:rFonts w:hint="eastAsia" w:ascii="楷体" w:hAnsi="楷体" w:eastAsia="楷体" w:cs="楷体"/>
          <w:sz w:val="28"/>
          <w:szCs w:val="28"/>
          <w:lang w:val="en-US" w:eastAsia="zh-CN"/>
        </w:rPr>
        <w:t>2</w:t>
      </w:r>
      <w:r>
        <w:rPr>
          <w:rFonts w:hint="eastAsia" w:ascii="楷体" w:hAnsi="楷体" w:eastAsia="楷体" w:cs="楷体"/>
          <w:sz w:val="28"/>
          <w:szCs w:val="28"/>
        </w:rPr>
        <w:t>月</w:t>
      </w:r>
      <w:r>
        <w:rPr>
          <w:rFonts w:hint="eastAsia" w:ascii="楷体" w:hAnsi="楷体" w:eastAsia="楷体" w:cs="楷体"/>
          <w:sz w:val="28"/>
          <w:szCs w:val="28"/>
          <w:lang w:val="en-US" w:eastAsia="zh-CN"/>
        </w:rPr>
        <w:t>25</w:t>
      </w:r>
      <w:r>
        <w:rPr>
          <w:rFonts w:hint="eastAsia" w:ascii="楷体" w:hAnsi="楷体" w:eastAsia="楷体" w:cs="楷体"/>
          <w:sz w:val="28"/>
          <w:szCs w:val="28"/>
        </w:rPr>
        <w:t>日</w:t>
      </w: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方正小标宋_GBK" w:hAnsi="宋体" w:eastAsia="方正小标宋_GBK" w:cs="宋体"/>
          <w:sz w:val="36"/>
          <w:szCs w:val="36"/>
        </w:rPr>
      </w:pPr>
      <w:r>
        <w:rPr>
          <w:rFonts w:hint="eastAsia" w:ascii="方正小标宋_GBK" w:hAnsi="宋体" w:eastAsia="方正小标宋_GBK" w:cs="宋体"/>
          <w:sz w:val="36"/>
          <w:szCs w:val="36"/>
        </w:rPr>
        <w:t xml:space="preserve">引 </w:t>
      </w:r>
      <w:r>
        <w:rPr>
          <w:rFonts w:ascii="方正小标宋_GBK" w:hAnsi="宋体" w:eastAsia="方正小标宋_GBK" w:cs="宋体"/>
          <w:sz w:val="36"/>
          <w:szCs w:val="36"/>
        </w:rPr>
        <w:t xml:space="preserve"> </w:t>
      </w:r>
      <w:r>
        <w:rPr>
          <w:rFonts w:hint="eastAsia" w:ascii="方正小标宋_GBK" w:hAnsi="宋体" w:eastAsia="方正小标宋_GBK" w:cs="宋体"/>
          <w:sz w:val="36"/>
          <w:szCs w:val="36"/>
        </w:rPr>
        <w:t>言</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福建农林大学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1962年学校开始招收研究生，1981年获全国首批硕士学位授予权，1984年获全国第二批博士学位授予权，1995年建立博士后科研流动站，1998年获得一级学科博士学位授予权。</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2021年，学校构建了以农林学科为主体，具有农林特色的工科和人文社科为两翼的“一体两翼”学科发展格局。新增兽医专业学位博士点和翻译专业学位硕士点，实现专业博士点“零”的突破与结构性优化，实现所有学院学位点的全覆盖。截至2021年底，设有12个一级学科博士学位授权点、1个兽医专业学位博士点，涵盖农学、理学、工学、管理学4个学科门类，其中，农学门类6个，占比46.2%；工学门类4个，占比30.8%。</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校重点谋划建设植物保护学科（植物保护与生物安全）、林学（林学与生物质高效利用）、生态学（生态学与生态文明建设）3个重中之重学科。学校通过了省2016-2020年“双一流”建设验收，现有7个国家林业与草原局重点学科,6个福建省高峰学科，12个福建省高原学科。优势学科群在世界排名中争先进位，</w:t>
      </w:r>
    </w:p>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r>
        <w:rPr>
          <w:rFonts w:hint="eastAsia" w:ascii="仿宋_GB2312" w:hAnsi="宋体" w:eastAsia="仿宋_GB2312" w:cs="宋体"/>
          <w:sz w:val="32"/>
          <w:szCs w:val="32"/>
        </w:rPr>
        <w:t>一年来，学校坚持以习近平新时代中国特色社会主义思想为指导，深入学习贯彻党的十九大和十九届历次全会精神，认真学习贯彻习近平总书记来闽考察重要讲话和对研究生教育工作的重要指示精神，全面落实全国教育大会、全国高校思想政治工作会议和全国研究生教育会议精神，坚持以“立德树人、服务需求、提高质量、追求卓越”为主线，不断深化研究生教育综合改革，加强思想政治教育，构建高水平研究生培养体系，完善研究生教育质量保障体系，全面推进新时代研究生教育高质量发展。</w:t>
      </w:r>
    </w:p>
    <w:p>
      <w:pPr>
        <w:spacing w:line="600" w:lineRule="exact"/>
        <w:ind w:firstLine="640" w:firstLineChars="200"/>
        <w:rPr>
          <w:rFonts w:hint="eastAsia" w:ascii="仿宋" w:hAnsi="仿宋" w:eastAsia="仿宋" w:cs="宋体"/>
          <w:sz w:val="32"/>
          <w:szCs w:val="32"/>
        </w:rPr>
      </w:pPr>
    </w:p>
    <w:p>
      <w:pPr>
        <w:spacing w:line="600" w:lineRule="exact"/>
        <w:ind w:firstLine="640" w:firstLineChars="200"/>
        <w:rPr>
          <w:rFonts w:hint="eastAsia" w:ascii="仿宋" w:hAnsi="仿宋" w:eastAsia="仿宋" w:cs="宋体"/>
          <w:sz w:val="32"/>
          <w:szCs w:val="32"/>
        </w:rPr>
      </w:pPr>
    </w:p>
    <w:p>
      <w:pPr>
        <w:spacing w:line="600" w:lineRule="exact"/>
        <w:ind w:firstLine="640" w:firstLineChars="200"/>
        <w:rPr>
          <w:rFonts w:hint="eastAsia" w:ascii="仿宋" w:hAnsi="仿宋" w:eastAsia="仿宋" w:cs="宋体"/>
          <w:sz w:val="32"/>
          <w:szCs w:val="32"/>
        </w:rPr>
      </w:pPr>
    </w:p>
    <w:p>
      <w:pPr>
        <w:spacing w:line="600" w:lineRule="exact"/>
        <w:rPr>
          <w:rFonts w:hint="eastAsia" w:ascii="仿宋" w:hAnsi="仿宋" w:eastAsia="仿宋" w:cs="宋体"/>
          <w:sz w:val="32"/>
          <w:szCs w:val="32"/>
        </w:rPr>
      </w:pPr>
    </w:p>
    <w:p>
      <w:pPr>
        <w:spacing w:line="600" w:lineRule="exact"/>
        <w:rPr>
          <w:rFonts w:ascii="仿宋" w:hAnsi="仿宋" w:eastAsia="仿宋" w:cs="宋体"/>
          <w:sz w:val="32"/>
          <w:szCs w:val="32"/>
        </w:rPr>
        <w:sectPr>
          <w:footerReference r:id="rId4" w:type="default"/>
          <w:pgSz w:w="11906" w:h="16838"/>
          <w:pgMar w:top="1440" w:right="1800" w:bottom="1440" w:left="1800" w:header="851" w:footer="992" w:gutter="0"/>
          <w:cols w:space="425" w:num="1"/>
          <w:docGrid w:type="lines" w:linePitch="312" w:charSpace="0"/>
        </w:sectPr>
      </w:pPr>
    </w:p>
    <w:p>
      <w:pPr>
        <w:pStyle w:val="20"/>
        <w:jc w:val="center"/>
        <w:rPr>
          <w:color w:val="000000"/>
          <w:sz w:val="36"/>
          <w:szCs w:val="36"/>
        </w:rPr>
      </w:pPr>
      <w:r>
        <w:rPr>
          <w:color w:val="000000"/>
          <w:sz w:val="36"/>
          <w:szCs w:val="36"/>
          <w:lang w:val="zh-CN"/>
        </w:rPr>
        <w:t>目</w:t>
      </w:r>
      <w:r>
        <w:rPr>
          <w:rFonts w:hint="eastAsia"/>
          <w:color w:val="000000"/>
          <w:sz w:val="36"/>
          <w:szCs w:val="36"/>
          <w:lang w:val="zh-CN"/>
        </w:rPr>
        <w:t xml:space="preserve">  </w:t>
      </w:r>
      <w:r>
        <w:rPr>
          <w:color w:val="000000"/>
          <w:sz w:val="36"/>
          <w:szCs w:val="36"/>
          <w:lang w:val="zh-CN"/>
        </w:rPr>
        <w:t>录</w:t>
      </w:r>
    </w:p>
    <w:p>
      <w:pPr>
        <w:pStyle w:val="9"/>
        <w:rPr>
          <w:rFonts w:ascii="仿宋" w:hAnsi="仿宋" w:eastAsia="仿宋" w:cs="Arial"/>
          <w:b w:val="0"/>
          <w:bCs w:val="0"/>
          <w:sz w:val="28"/>
          <w:szCs w:val="28"/>
          <w:lang w:val="en-US"/>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"_Toc101526918" </w:instrText>
      </w:r>
      <w:r>
        <w:fldChar w:fldCharType="separate"/>
      </w:r>
      <w:r>
        <w:rPr>
          <w:rStyle w:val="13"/>
          <w:rFonts w:hint="eastAsia" w:ascii="仿宋" w:hAnsi="仿宋" w:eastAsia="仿宋"/>
          <w:sz w:val="28"/>
          <w:szCs w:val="28"/>
        </w:rPr>
        <w:t>一、学位授权点基本情况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_Toc101526918 \h </w:instrText>
      </w:r>
      <w:r>
        <w:rPr>
          <w:rFonts w:ascii="仿宋" w:hAnsi="仿宋" w:eastAsia="仿宋"/>
          <w:sz w:val="28"/>
          <w:szCs w:val="28"/>
        </w:rPr>
        <w:fldChar w:fldCharType="separate"/>
      </w:r>
      <w:r>
        <w:rPr>
          <w:rFonts w:ascii="仿宋" w:hAnsi="仿宋" w:eastAsia="仿宋"/>
          <w:sz w:val="28"/>
          <w:szCs w:val="28"/>
        </w:rPr>
        <w:t>- 1 -</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8296"/>
        </w:tabs>
        <w:rPr>
          <w:rFonts w:ascii="仿宋" w:hAnsi="仿宋" w:eastAsia="仿宋"/>
          <w:sz w:val="28"/>
          <w:szCs w:val="28"/>
        </w:rPr>
      </w:pPr>
      <w:r>
        <w:fldChar w:fldCharType="begin"/>
      </w:r>
      <w:r>
        <w:instrText xml:space="preserve"> HYPERLINK \l "_Toc101526919" </w:instrText>
      </w:r>
      <w:r>
        <w:fldChar w:fldCharType="separate"/>
      </w:r>
      <w:r>
        <w:rPr>
          <w:rStyle w:val="13"/>
          <w:rFonts w:hint="eastAsia" w:ascii="仿宋" w:hAnsi="仿宋" w:eastAsia="仿宋"/>
          <w:sz w:val="28"/>
          <w:szCs w:val="28"/>
        </w:rPr>
        <w:t>（一）目标与标准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_Toc101526919 \h </w:instrText>
      </w:r>
      <w:r>
        <w:rPr>
          <w:rFonts w:ascii="仿宋" w:hAnsi="仿宋" w:eastAsia="仿宋"/>
          <w:sz w:val="28"/>
          <w:szCs w:val="28"/>
        </w:rPr>
        <w:fldChar w:fldCharType="separate"/>
      </w:r>
      <w:r>
        <w:rPr>
          <w:rFonts w:ascii="仿宋" w:hAnsi="仿宋" w:eastAsia="仿宋"/>
          <w:sz w:val="28"/>
          <w:szCs w:val="28"/>
        </w:rPr>
        <w:t>- 1 -</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8296"/>
        </w:tabs>
        <w:rPr>
          <w:rFonts w:ascii="仿宋" w:hAnsi="仿宋" w:eastAsia="仿宋"/>
          <w:sz w:val="28"/>
          <w:szCs w:val="28"/>
        </w:rPr>
      </w:pPr>
      <w:r>
        <w:fldChar w:fldCharType="begin"/>
      </w:r>
      <w:r>
        <w:instrText xml:space="preserve"> HYPERLINK \l "_Toc101526920" </w:instrText>
      </w:r>
      <w:r>
        <w:fldChar w:fldCharType="separate"/>
      </w:r>
      <w:r>
        <w:rPr>
          <w:rStyle w:val="13"/>
          <w:rFonts w:hint="eastAsia" w:ascii="仿宋" w:hAnsi="仿宋" w:eastAsia="仿宋"/>
          <w:sz w:val="28"/>
          <w:szCs w:val="28"/>
        </w:rPr>
        <w:t>（二）基本条件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_Toc101526920 \h </w:instrText>
      </w:r>
      <w:r>
        <w:rPr>
          <w:rFonts w:ascii="仿宋" w:hAnsi="仿宋" w:eastAsia="仿宋"/>
          <w:sz w:val="28"/>
          <w:szCs w:val="28"/>
        </w:rPr>
        <w:fldChar w:fldCharType="separate"/>
      </w:r>
      <w:r>
        <w:rPr>
          <w:rFonts w:ascii="仿宋" w:hAnsi="仿宋" w:eastAsia="仿宋"/>
          <w:sz w:val="28"/>
          <w:szCs w:val="28"/>
        </w:rPr>
        <w:t>- 2 -</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8296"/>
        </w:tabs>
        <w:rPr>
          <w:rFonts w:ascii="仿宋" w:hAnsi="仿宋" w:eastAsia="仿宋"/>
          <w:sz w:val="28"/>
          <w:szCs w:val="28"/>
        </w:rPr>
      </w:pPr>
      <w:r>
        <w:fldChar w:fldCharType="begin"/>
      </w:r>
      <w:r>
        <w:instrText xml:space="preserve"> HYPERLINK \l "_Toc101526923" </w:instrText>
      </w:r>
      <w:r>
        <w:fldChar w:fldCharType="separate"/>
      </w:r>
      <w:r>
        <w:rPr>
          <w:rStyle w:val="13"/>
          <w:rFonts w:hint="eastAsia" w:ascii="仿宋" w:hAnsi="仿宋" w:eastAsia="仿宋"/>
          <w:sz w:val="28"/>
          <w:szCs w:val="28"/>
        </w:rPr>
        <w:t>（三）人才培养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_Toc101526923 \h </w:instrText>
      </w:r>
      <w:r>
        <w:rPr>
          <w:rFonts w:ascii="仿宋" w:hAnsi="仿宋" w:eastAsia="仿宋"/>
          <w:sz w:val="28"/>
          <w:szCs w:val="28"/>
        </w:rPr>
        <w:fldChar w:fldCharType="separate"/>
      </w:r>
      <w:r>
        <w:rPr>
          <w:rFonts w:ascii="仿宋" w:hAnsi="仿宋" w:eastAsia="仿宋"/>
          <w:sz w:val="28"/>
          <w:szCs w:val="28"/>
        </w:rPr>
        <w:t>- 8 -</w:t>
      </w:r>
      <w:r>
        <w:rPr>
          <w:rFonts w:ascii="仿宋" w:hAnsi="仿宋" w:eastAsia="仿宋"/>
          <w:sz w:val="28"/>
          <w:szCs w:val="28"/>
        </w:rPr>
        <w:fldChar w:fldCharType="end"/>
      </w:r>
      <w:r>
        <w:rPr>
          <w:rFonts w:ascii="仿宋" w:hAnsi="仿宋" w:eastAsia="仿宋"/>
          <w:sz w:val="28"/>
          <w:szCs w:val="28"/>
        </w:rPr>
        <w:fldChar w:fldCharType="end"/>
      </w:r>
    </w:p>
    <w:p>
      <w:pPr>
        <w:pStyle w:val="10"/>
        <w:tabs>
          <w:tab w:val="right" w:leader="dot" w:pos="8296"/>
        </w:tabs>
        <w:rPr>
          <w:rFonts w:ascii="仿宋" w:hAnsi="仿宋" w:eastAsia="仿宋"/>
          <w:sz w:val="28"/>
          <w:szCs w:val="28"/>
        </w:rPr>
      </w:pPr>
      <w:r>
        <w:fldChar w:fldCharType="begin"/>
      </w:r>
      <w:r>
        <w:instrText xml:space="preserve"> HYPERLINK \l "_Toc101526924" </w:instrText>
      </w:r>
      <w:r>
        <w:fldChar w:fldCharType="separate"/>
      </w:r>
      <w:r>
        <w:rPr>
          <w:rStyle w:val="13"/>
          <w:rFonts w:hint="eastAsia" w:ascii="仿宋" w:hAnsi="仿宋" w:eastAsia="仿宋"/>
          <w:sz w:val="28"/>
          <w:szCs w:val="28"/>
        </w:rPr>
        <w:t>（四）质量监控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_Toc101526924 \h </w:instrText>
      </w:r>
      <w:r>
        <w:rPr>
          <w:rFonts w:ascii="仿宋" w:hAnsi="仿宋" w:eastAsia="仿宋"/>
          <w:sz w:val="28"/>
          <w:szCs w:val="28"/>
        </w:rPr>
        <w:fldChar w:fldCharType="separate"/>
      </w:r>
      <w:r>
        <w:rPr>
          <w:rFonts w:ascii="仿宋" w:hAnsi="仿宋" w:eastAsia="仿宋"/>
          <w:sz w:val="28"/>
          <w:szCs w:val="28"/>
        </w:rPr>
        <w:t>- 11 -</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Arial"/>
          <w:b w:val="0"/>
          <w:bCs w:val="0"/>
          <w:sz w:val="28"/>
          <w:szCs w:val="28"/>
          <w:lang w:val="en-US"/>
        </w:rPr>
      </w:pPr>
      <w:r>
        <w:fldChar w:fldCharType="begin"/>
      </w:r>
      <w:r>
        <w:instrText xml:space="preserve"> HYPERLINK \l "_Toc101526925" </w:instrText>
      </w:r>
      <w:r>
        <w:fldChar w:fldCharType="separate"/>
      </w:r>
      <w:r>
        <w:rPr>
          <w:rStyle w:val="13"/>
          <w:rFonts w:hint="eastAsia" w:ascii="仿宋" w:hAnsi="仿宋" w:eastAsia="仿宋"/>
          <w:sz w:val="28"/>
          <w:szCs w:val="28"/>
        </w:rPr>
        <w:t>二、工作特色与成效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_Toc101526925 \h </w:instrText>
      </w:r>
      <w:r>
        <w:rPr>
          <w:rFonts w:ascii="仿宋" w:hAnsi="仿宋" w:eastAsia="仿宋"/>
          <w:sz w:val="28"/>
          <w:szCs w:val="28"/>
        </w:rPr>
        <w:fldChar w:fldCharType="separate"/>
      </w:r>
      <w:r>
        <w:rPr>
          <w:rFonts w:ascii="仿宋" w:hAnsi="仿宋" w:eastAsia="仿宋"/>
          <w:sz w:val="28"/>
          <w:szCs w:val="28"/>
        </w:rPr>
        <w:t>- 12 -</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Arial"/>
          <w:b w:val="0"/>
          <w:bCs w:val="0"/>
          <w:sz w:val="28"/>
          <w:szCs w:val="28"/>
          <w:lang w:val="en-US"/>
        </w:rPr>
      </w:pPr>
      <w:r>
        <w:fldChar w:fldCharType="begin"/>
      </w:r>
      <w:r>
        <w:instrText xml:space="preserve"> HYPERLINK \l "_Toc101526926" </w:instrText>
      </w:r>
      <w:r>
        <w:fldChar w:fldCharType="separate"/>
      </w:r>
      <w:r>
        <w:rPr>
          <w:rStyle w:val="13"/>
          <w:rFonts w:hint="eastAsia" w:ascii="仿宋" w:hAnsi="仿宋" w:eastAsia="仿宋"/>
          <w:sz w:val="28"/>
          <w:szCs w:val="28"/>
        </w:rPr>
        <w:t>三、学位点建设存在的问题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_Toc101526926 \h </w:instrText>
      </w:r>
      <w:r>
        <w:rPr>
          <w:rFonts w:ascii="仿宋" w:hAnsi="仿宋" w:eastAsia="仿宋"/>
          <w:sz w:val="28"/>
          <w:szCs w:val="28"/>
        </w:rPr>
        <w:fldChar w:fldCharType="separate"/>
      </w:r>
      <w:r>
        <w:rPr>
          <w:rFonts w:ascii="仿宋" w:hAnsi="仿宋" w:eastAsia="仿宋"/>
          <w:sz w:val="28"/>
          <w:szCs w:val="28"/>
        </w:rPr>
        <w:t>- 14 -</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Arial"/>
          <w:b w:val="0"/>
          <w:bCs w:val="0"/>
          <w:sz w:val="28"/>
          <w:szCs w:val="28"/>
          <w:lang w:val="en-US"/>
        </w:rPr>
      </w:pPr>
      <w:r>
        <w:fldChar w:fldCharType="begin"/>
      </w:r>
      <w:r>
        <w:instrText xml:space="preserve"> HYPERLINK \l "_Toc101526927" </w:instrText>
      </w:r>
      <w:r>
        <w:fldChar w:fldCharType="separate"/>
      </w:r>
      <w:r>
        <w:rPr>
          <w:rStyle w:val="13"/>
          <w:rFonts w:hint="eastAsia" w:ascii="仿宋" w:hAnsi="仿宋" w:eastAsia="仿宋"/>
          <w:sz w:val="28"/>
          <w:szCs w:val="28"/>
        </w:rPr>
        <w:t>四、下一年度建设计划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_Toc101526927 \h </w:instrText>
      </w:r>
      <w:r>
        <w:rPr>
          <w:rFonts w:ascii="仿宋" w:hAnsi="仿宋" w:eastAsia="仿宋"/>
          <w:sz w:val="28"/>
          <w:szCs w:val="28"/>
        </w:rPr>
        <w:fldChar w:fldCharType="separate"/>
      </w:r>
      <w:r>
        <w:rPr>
          <w:rFonts w:ascii="仿宋" w:hAnsi="仿宋" w:eastAsia="仿宋"/>
          <w:sz w:val="28"/>
          <w:szCs w:val="28"/>
        </w:rPr>
        <w:t>- 15 -</w:t>
      </w:r>
      <w:r>
        <w:rPr>
          <w:rFonts w:ascii="仿宋" w:hAnsi="仿宋" w:eastAsia="仿宋"/>
          <w:sz w:val="28"/>
          <w:szCs w:val="28"/>
        </w:rPr>
        <w:fldChar w:fldCharType="end"/>
      </w:r>
      <w:r>
        <w:rPr>
          <w:rFonts w:ascii="仿宋" w:hAnsi="仿宋" w:eastAsia="仿宋"/>
          <w:sz w:val="28"/>
          <w:szCs w:val="28"/>
        </w:rPr>
        <w:fldChar w:fldCharType="end"/>
      </w:r>
    </w:p>
    <w:p>
      <w:pPr>
        <w:rPr>
          <w:rFonts w:ascii="仿宋" w:hAnsi="仿宋" w:eastAsia="仿宋"/>
          <w:sz w:val="28"/>
          <w:szCs w:val="28"/>
        </w:rPr>
      </w:pPr>
      <w:r>
        <w:rPr>
          <w:rFonts w:ascii="仿宋" w:hAnsi="仿宋" w:eastAsia="仿宋"/>
          <w:b/>
          <w:bCs/>
          <w:sz w:val="28"/>
          <w:szCs w:val="28"/>
          <w:lang w:val="zh-CN"/>
        </w:rPr>
        <w:fldChar w:fldCharType="end"/>
      </w: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hint="eastAsia" w:ascii="黑体" w:hAnsi="黑体" w:eastAsia="黑体" w:cs="黑体"/>
          <w:bCs/>
          <w:sz w:val="32"/>
          <w:szCs w:val="32"/>
        </w:rPr>
      </w:pPr>
    </w:p>
    <w:p>
      <w:pPr>
        <w:snapToGrid w:val="0"/>
        <w:spacing w:beforeLines="50" w:line="600" w:lineRule="exact"/>
        <w:rPr>
          <w:rFonts w:ascii="黑体" w:hAnsi="黑体" w:eastAsia="黑体" w:cs="黑体"/>
          <w:bCs/>
          <w:sz w:val="32"/>
          <w:szCs w:val="32"/>
        </w:rPr>
        <w:sectPr>
          <w:pgSz w:w="11906" w:h="16838"/>
          <w:pgMar w:top="1440" w:right="1800" w:bottom="1440" w:left="1800" w:header="851" w:footer="992" w:gutter="0"/>
          <w:cols w:space="425" w:num="1"/>
          <w:docGrid w:type="lines" w:linePitch="312" w:charSpace="0"/>
        </w:sectPr>
      </w:pPr>
    </w:p>
    <w:p>
      <w:pPr>
        <w:pStyle w:val="2"/>
        <w:spacing w:before="0" w:after="0" w:line="600" w:lineRule="exact"/>
        <w:ind w:firstLine="643" w:firstLineChars="200"/>
      </w:pPr>
      <w:bookmarkStart w:id="0" w:name="_Toc101526918"/>
      <w:r>
        <w:rPr>
          <w:rFonts w:hint="eastAsia"/>
        </w:rPr>
        <w:t>一、学位授权点基本情况</w:t>
      </w:r>
      <w:bookmarkEnd w:id="0"/>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福建农林大学林学学科始创于1940年，1979年获批我国最早的“经济林学”硕士点，1984年设立“造林学”硕士点，2006年和2007年获批“林学一级学科博士点”和“林学博士后科研流动站”。林学一级学科是国家林业局重点学科、福建省高峰学科、福建省特色重点学科和福建省首批重点学科，在2017年全国第四轮学科评估中，林学学科获得B+，并列排名全国第四。经过81年的发展，学位点已经形成了“本科-硕士-博士-博士后”多层次林学人才培养格局，培养各类学生17000多名，逐步建成了极具南方特色的研究领域和学科体系。</w:t>
      </w:r>
    </w:p>
    <w:p>
      <w:pPr>
        <w:pStyle w:val="3"/>
        <w:ind w:firstLine="643"/>
      </w:pPr>
      <w:bookmarkStart w:id="1" w:name="_Toc101526919"/>
      <w:r>
        <w:rPr>
          <w:rFonts w:hint="eastAsia"/>
        </w:rPr>
        <w:t>（一）目标与标准</w:t>
      </w:r>
      <w:bookmarkEnd w:id="1"/>
    </w:p>
    <w:p>
      <w:pPr>
        <w:pBdr>
          <w:top w:val="none" w:color="auto" w:sz="0" w:space="1"/>
          <w:left w:val="none" w:color="auto" w:sz="0" w:space="4"/>
          <w:bottom w:val="none" w:color="auto" w:sz="0" w:space="1"/>
          <w:right w:val="none" w:color="auto" w:sz="0" w:space="4"/>
        </w:pBdr>
        <w:spacing w:line="600" w:lineRule="exact"/>
        <w:ind w:firstLine="629"/>
        <w:rPr>
          <w:rFonts w:ascii="仿宋_GB2312" w:hAnsi="仿宋" w:eastAsia="仿宋_GB2312" w:cs="仿宋"/>
          <w:sz w:val="32"/>
          <w:szCs w:val="32"/>
        </w:rPr>
      </w:pPr>
      <w:r>
        <w:rPr>
          <w:rFonts w:hint="eastAsia" w:ascii="仿宋_GB2312" w:hAnsi="仿宋" w:eastAsia="仿宋_GB2312" w:cs="仿宋"/>
          <w:sz w:val="32"/>
          <w:szCs w:val="32"/>
        </w:rPr>
        <w:t>1.培养目标</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林学博士：德、智、体、美全面发展，适应现代科技进步和社会发展的需要，掌握坚实宽广的林学基础理论、系统深入的专门知识和科学研究的先进方法，深入了解林学发展方向及国际学术研究前沿，具有良好的科学文化素养和独立从事创造性科学研究及实际工作的能力，在促进我国南方林业科学研究发展和社会进步中取得原创性成果。</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林学硕士：德、智、体、美全面发展，适应现代科技进步和社会发展的需要，掌握坚实的林学基础理论和系统的专门知识，有较强的自学能力、创新能力、协作能力和实践能力，具备从事林业科学研究或独立从事专门技术工作的能力，在林学某一方向的理论、技术或方法等方面取得有一定促进发展作用的成果。</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2.学位标准</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博士标准：（1）博士学位论文经过导师和所在学位点审定同意，通过论文查重、盲审和答辩等环节，经学位评定分委员会审查、投票，建议授予学位的博士研究生；（2）博士学位论文第一次送外盲审评阅结论为AAA，或在具有国际影响力的国内科技期刊、业界公认的国际顶级或重要科技期刊发表高质量论文1篇，或达到《</w:t>
      </w:r>
      <w:r>
        <w:rPr>
          <w:rFonts w:ascii="仿宋_GB2312" w:hAnsi="宋体" w:eastAsia="仿宋_GB2312" w:cs="宋体"/>
          <w:sz w:val="32"/>
          <w:szCs w:val="32"/>
        </w:rPr>
        <w:t>福建农林大学博士研究生获得学术成果规定（2020年修订）</w:t>
      </w:r>
      <w:r>
        <w:rPr>
          <w:rFonts w:hint="eastAsia" w:ascii="仿宋_GB2312" w:hAnsi="宋体" w:eastAsia="仿宋_GB2312" w:cs="宋体"/>
          <w:sz w:val="32"/>
          <w:szCs w:val="32"/>
        </w:rPr>
        <w:t>》、《福建农林大学林学院研究生高质量论文及其它</w:t>
      </w:r>
      <w:bookmarkStart w:id="2" w:name="OLE_LINK2"/>
      <w:bookmarkStart w:id="3" w:name="OLE_LINK1"/>
      <w:r>
        <w:rPr>
          <w:rFonts w:hint="eastAsia" w:ascii="仿宋_GB2312" w:hAnsi="宋体" w:eastAsia="仿宋_GB2312" w:cs="宋体"/>
          <w:sz w:val="32"/>
          <w:szCs w:val="32"/>
        </w:rPr>
        <w:t>重要创新性</w:t>
      </w:r>
      <w:bookmarkEnd w:id="2"/>
      <w:bookmarkEnd w:id="3"/>
      <w:r>
        <w:rPr>
          <w:rFonts w:hint="eastAsia" w:ascii="仿宋_GB2312" w:hAnsi="宋体" w:eastAsia="仿宋_GB2312" w:cs="宋体"/>
          <w:sz w:val="32"/>
          <w:szCs w:val="32"/>
        </w:rPr>
        <w:t>成果认定方案（</w:t>
      </w:r>
      <w:r>
        <w:rPr>
          <w:rFonts w:ascii="仿宋_GB2312" w:hAnsi="宋体" w:eastAsia="仿宋_GB2312" w:cs="宋体"/>
          <w:sz w:val="32"/>
          <w:szCs w:val="32"/>
        </w:rPr>
        <w:t>2021</w:t>
      </w:r>
      <w:r>
        <w:rPr>
          <w:rFonts w:hint="eastAsia" w:ascii="仿宋_GB2312" w:hAnsi="宋体" w:eastAsia="仿宋_GB2312" w:cs="宋体"/>
          <w:sz w:val="32"/>
          <w:szCs w:val="32"/>
        </w:rPr>
        <w:t>年）》认定标准。</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硕士标准：（1）硕士学位论文经过导师和所在学位点审定同意，通过论文查重、盲审和答辩等环节，经学位评定分委员会审查、投票，建议授予学位的硕士研究生；（2）学生</w:t>
      </w:r>
      <w:r>
        <w:rPr>
          <w:rFonts w:ascii="仿宋_GB2312" w:hAnsi="宋体" w:eastAsia="仿宋_GB2312" w:cs="宋体"/>
          <w:sz w:val="32"/>
          <w:szCs w:val="32"/>
        </w:rPr>
        <w:t>在</w:t>
      </w:r>
      <w:r>
        <w:rPr>
          <w:rFonts w:hint="eastAsia" w:ascii="仿宋_GB2312" w:hAnsi="宋体" w:eastAsia="仿宋_GB2312" w:cs="宋体"/>
          <w:sz w:val="32"/>
          <w:szCs w:val="32"/>
        </w:rPr>
        <w:t>中文核心期刊或本科大学学报及以上学术</w:t>
      </w:r>
      <w:r>
        <w:rPr>
          <w:rFonts w:ascii="仿宋_GB2312" w:hAnsi="宋体" w:eastAsia="仿宋_GB2312" w:cs="宋体"/>
          <w:sz w:val="32"/>
          <w:szCs w:val="32"/>
        </w:rPr>
        <w:t>刊物发表学术论文1篇</w:t>
      </w:r>
      <w:r>
        <w:rPr>
          <w:rFonts w:hint="eastAsia" w:ascii="仿宋_GB2312" w:hAnsi="宋体" w:eastAsia="仿宋_GB2312" w:cs="宋体"/>
          <w:sz w:val="32"/>
          <w:szCs w:val="32"/>
        </w:rPr>
        <w:t>或取得其它创新性成果分值5分以上（其它创新性成果参照《福建农林大学林学院研究生高质量论文及其它重要创新性成果认定方案（</w:t>
      </w:r>
      <w:r>
        <w:rPr>
          <w:rFonts w:ascii="仿宋_GB2312" w:hAnsi="宋体" w:eastAsia="仿宋_GB2312" w:cs="宋体"/>
          <w:sz w:val="32"/>
          <w:szCs w:val="32"/>
        </w:rPr>
        <w:t>2021</w:t>
      </w:r>
      <w:r>
        <w:rPr>
          <w:rFonts w:hint="eastAsia" w:ascii="仿宋_GB2312" w:hAnsi="宋体" w:eastAsia="仿宋_GB2312" w:cs="宋体"/>
          <w:sz w:val="32"/>
          <w:szCs w:val="32"/>
        </w:rPr>
        <w:t>年）》相关认定）。</w:t>
      </w:r>
    </w:p>
    <w:p>
      <w:pPr>
        <w:pStyle w:val="3"/>
        <w:ind w:firstLine="643"/>
      </w:pPr>
      <w:bookmarkStart w:id="4" w:name="_Toc101526920"/>
      <w:r>
        <w:rPr>
          <w:rFonts w:hint="eastAsia"/>
        </w:rPr>
        <w:t>（二）基本条件</w:t>
      </w:r>
      <w:bookmarkEnd w:id="4"/>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1.培养方向</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位点布局森林培育、林木遗传育种、森林资源经营管理、水土保持、森林保护五大学科方向，围绕杉木、毛竹、闽楠、福建柏、油茶、香樟等南方特色树种的高效栽培利用、良种选育、分子育种和林业资产评估、林地水土流失治理、林业有害生物防控开展持续研究，形成了特色和优势。</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2155"/>
        <w:gridCol w:w="68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0" w:hRule="atLeast"/>
          <w:jc w:val="center"/>
        </w:trPr>
        <w:tc>
          <w:tcPr>
            <w:tcW w:w="1198" w:type="pct"/>
            <w:tcBorders>
              <w:top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学科方向名称</w:t>
            </w:r>
          </w:p>
        </w:tc>
        <w:tc>
          <w:tcPr>
            <w:tcW w:w="3802" w:type="pct"/>
            <w:tcBorders>
              <w:top w:val="single" w:color="000000" w:sz="4" w:space="0"/>
              <w:left w:val="single" w:color="000000" w:sz="4" w:space="0"/>
              <w:bottom w:val="single" w:color="000000" w:sz="4" w:space="0"/>
            </w:tcBorders>
            <w:shd w:val="clear" w:color="auto" w:fill="FFFFFF"/>
            <w:tcMar>
              <w:top w:w="10" w:type="dxa"/>
              <w:left w:w="10" w:type="dxa"/>
              <w:right w:w="10" w:type="dxa"/>
            </w:tcMar>
            <w:vAlign w:val="center"/>
          </w:tcPr>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主要研究领域、特色与优势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43" w:hRule="atLeast"/>
          <w:jc w:val="center"/>
        </w:trPr>
        <w:tc>
          <w:tcPr>
            <w:tcW w:w="1198" w:type="pct"/>
            <w:tcBorders>
              <w:top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森林培育</w:t>
            </w:r>
          </w:p>
        </w:tc>
        <w:tc>
          <w:tcPr>
            <w:tcW w:w="3802" w:type="pct"/>
            <w:tcBorders>
              <w:top w:val="single" w:color="000000" w:sz="4" w:space="0"/>
              <w:left w:val="single" w:color="000000" w:sz="4" w:space="0"/>
              <w:bottom w:val="single" w:color="000000" w:sz="4" w:space="0"/>
            </w:tcBorders>
            <w:shd w:val="clear" w:color="auto" w:fill="FFFFFF"/>
            <w:tcMar>
              <w:top w:w="10" w:type="dxa"/>
              <w:left w:w="10" w:type="dxa"/>
              <w:right w:w="10" w:type="dxa"/>
            </w:tcMa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围绕南方山地主要用材林、经济林、竹林、林下经济植物高效培育的基础理论与应用技术开展人才培养、科学研究和社会实践工作。在杉木、毛竹、闽楠、福建柏、油茶、香樟等南方特色树种栽培利用研究方面居国内前列，也是与台湾高校、林业院所进行学术交流的重要基地。主持国家“十三五”重点研发计划项目，在杉木和竹子种质收集、良种选育、定向培育和地力衰退防治等方面取得系列成果。杉木领域获国家科技进步奖</w:t>
            </w:r>
            <w:r>
              <w:rPr>
                <w:rFonts w:ascii="仿宋_GB2312" w:hAnsi="宋体" w:eastAsia="仿宋_GB2312" w:cs="宋体"/>
                <w:sz w:val="30"/>
                <w:szCs w:val="30"/>
              </w:rPr>
              <w:t>3项、福建</w:t>
            </w:r>
            <w:r>
              <w:rPr>
                <w:rFonts w:hint="eastAsia" w:ascii="仿宋_GB2312" w:hAnsi="宋体" w:eastAsia="仿宋_GB2312" w:cs="宋体"/>
                <w:sz w:val="30"/>
                <w:szCs w:val="30"/>
              </w:rPr>
              <w:t>省科技进步一等奖</w:t>
            </w:r>
            <w:r>
              <w:rPr>
                <w:rFonts w:ascii="仿宋_GB2312" w:hAnsi="宋体" w:eastAsia="仿宋_GB2312" w:cs="宋体"/>
                <w:sz w:val="30"/>
                <w:szCs w:val="30"/>
              </w:rPr>
              <w:t>2项、部省级科技奖13项，出版专著10部，</w:t>
            </w:r>
            <w:r>
              <w:rPr>
                <w:rFonts w:hint="eastAsia" w:ascii="仿宋_GB2312" w:hAnsi="宋体" w:eastAsia="仿宋_GB2312" w:cs="宋体"/>
                <w:sz w:val="30"/>
                <w:szCs w:val="30"/>
              </w:rPr>
              <w:t>作为中国林学会杉木专业委员会挂靠单位，</w:t>
            </w:r>
            <w:r>
              <w:rPr>
                <w:rFonts w:ascii="仿宋_GB2312" w:hAnsi="宋体" w:eastAsia="仿宋_GB2312" w:cs="宋体"/>
                <w:sz w:val="30"/>
                <w:szCs w:val="30"/>
              </w:rPr>
              <w:t>是我国研究杉木持续时间最长和</w:t>
            </w:r>
            <w:r>
              <w:rPr>
                <w:rFonts w:hint="eastAsia" w:ascii="仿宋_GB2312" w:hAnsi="宋体" w:eastAsia="仿宋_GB2312" w:cs="宋体"/>
                <w:sz w:val="30"/>
                <w:szCs w:val="30"/>
              </w:rPr>
              <w:t>产出杉木研究成果最多的单位之一；竹子领域获国家科技进步二等奖</w:t>
            </w:r>
            <w:r>
              <w:rPr>
                <w:rFonts w:ascii="仿宋_GB2312" w:hAnsi="宋体" w:eastAsia="仿宋_GB2312" w:cs="宋体"/>
                <w:sz w:val="30"/>
                <w:szCs w:val="30"/>
              </w:rPr>
              <w:t>1项，部省级科技进步奖15</w:t>
            </w:r>
            <w:r>
              <w:rPr>
                <w:rFonts w:hint="eastAsia" w:ascii="仿宋_GB2312" w:hAnsi="宋体" w:eastAsia="仿宋_GB2312" w:cs="宋体"/>
                <w:sz w:val="30"/>
                <w:szCs w:val="30"/>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198" w:type="pct"/>
            <w:shd w:val="clear" w:color="auto" w:fill="FFFFFF"/>
            <w:tcMar>
              <w:top w:w="10" w:type="dxa"/>
              <w:left w:w="10" w:type="dxa"/>
              <w:right w:w="10" w:type="dxa"/>
            </w:tcMar>
            <w:vAlign w:val="cente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林木遗传育种</w:t>
            </w:r>
          </w:p>
        </w:tc>
        <w:tc>
          <w:tcPr>
            <w:tcW w:w="3802" w:type="pct"/>
            <w:shd w:val="clear" w:color="auto" w:fill="FFFFFF"/>
            <w:tcMar>
              <w:top w:w="10" w:type="dxa"/>
              <w:left w:w="10" w:type="dxa"/>
              <w:right w:w="10" w:type="dxa"/>
            </w:tcMa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围绕南方重要木本植物的分子育种、遗传改良、良种选育、种苗扩繁、苗木管理等基础理论和应用技术开展人才培养、科学研究和社会实践工作。该方向引进国际团队开展林木基础生物学研究，在南方乡土树种、珍贵树种、特殊用途树种良种选育、种源试验、</w:t>
            </w:r>
            <w:r>
              <w:rPr>
                <w:rFonts w:ascii="仿宋_GB2312" w:hAnsi="宋体" w:eastAsia="仿宋_GB2312" w:cs="宋体"/>
                <w:sz w:val="30"/>
                <w:szCs w:val="30"/>
              </w:rPr>
              <w:t>植物光信号调控、林木蛋白质组学、林木表观遗传组学等</w:t>
            </w:r>
            <w:r>
              <w:rPr>
                <w:rFonts w:hint="eastAsia" w:ascii="仿宋_GB2312" w:hAnsi="宋体" w:eastAsia="仿宋_GB2312" w:cs="宋体"/>
                <w:sz w:val="30"/>
                <w:szCs w:val="30"/>
              </w:rPr>
              <w:t>方面形成了特色和优势，近5年</w:t>
            </w:r>
            <w:r>
              <w:rPr>
                <w:rFonts w:ascii="仿宋_GB2312" w:hAnsi="宋体" w:eastAsia="仿宋_GB2312" w:cs="宋体"/>
                <w:sz w:val="30"/>
                <w:szCs w:val="30"/>
              </w:rPr>
              <w:t>在</w:t>
            </w:r>
            <w:r>
              <w:rPr>
                <w:rFonts w:hint="eastAsia" w:ascii="仿宋_GB2312" w:hAnsi="宋体" w:eastAsia="仿宋_GB2312" w:cs="宋体"/>
                <w:sz w:val="30"/>
                <w:szCs w:val="30"/>
              </w:rPr>
              <w:t>《</w:t>
            </w:r>
            <w:r>
              <w:rPr>
                <w:rFonts w:ascii="仿宋_GB2312" w:hAnsi="宋体" w:eastAsia="仿宋_GB2312" w:cs="宋体"/>
                <w:sz w:val="30"/>
                <w:szCs w:val="30"/>
              </w:rPr>
              <w:t>Science》和《Nature</w:t>
            </w:r>
            <w:r>
              <w:rPr>
                <w:rFonts w:hint="eastAsia" w:ascii="仿宋_GB2312" w:hAnsi="宋体" w:eastAsia="仿宋_GB2312" w:cs="宋体"/>
                <w:sz w:val="30"/>
                <w:szCs w:val="30"/>
                <w:lang w:val="en-US" w:eastAsia="zh-CN"/>
              </w:rPr>
              <w:t xml:space="preserve"> </w:t>
            </w:r>
            <w:r>
              <w:rPr>
                <w:rFonts w:ascii="仿宋_GB2312" w:hAnsi="宋体" w:eastAsia="仿宋_GB2312" w:cs="宋体"/>
                <w:sz w:val="30"/>
                <w:szCs w:val="30"/>
              </w:rPr>
              <w:t>Communications》等Top刊物发表系列论文，</w:t>
            </w:r>
            <w:r>
              <w:rPr>
                <w:rFonts w:hint="eastAsia" w:ascii="仿宋_GB2312" w:hAnsi="宋体" w:eastAsia="仿宋_GB2312" w:cs="宋体"/>
                <w:sz w:val="30"/>
                <w:szCs w:val="30"/>
              </w:rPr>
              <w:t>选育了闽楠</w:t>
            </w:r>
            <w:r>
              <w:rPr>
                <w:rFonts w:ascii="仿宋_GB2312" w:hAnsi="宋体" w:eastAsia="仿宋_GB2312" w:cs="宋体"/>
                <w:sz w:val="30"/>
                <w:szCs w:val="30"/>
              </w:rPr>
              <w:t>YP602</w:t>
            </w:r>
            <w:r>
              <w:rPr>
                <w:rFonts w:hint="eastAsia" w:ascii="仿宋_GB2312" w:hAnsi="宋体" w:eastAsia="仿宋_GB2312" w:cs="宋体"/>
                <w:sz w:val="30"/>
                <w:szCs w:val="30"/>
              </w:rPr>
              <w:t>、芳樟</w:t>
            </w:r>
            <w:r>
              <w:rPr>
                <w:rFonts w:ascii="仿宋_GB2312" w:hAnsi="宋体" w:eastAsia="仿宋_GB2312" w:cs="宋体"/>
                <w:sz w:val="30"/>
                <w:szCs w:val="30"/>
              </w:rPr>
              <w:t>PC1</w:t>
            </w:r>
            <w:r>
              <w:rPr>
                <w:rFonts w:hint="eastAsia" w:ascii="仿宋_GB2312" w:hAnsi="宋体" w:eastAsia="仿宋_GB2312" w:cs="宋体"/>
                <w:sz w:val="30"/>
                <w:szCs w:val="30"/>
              </w:rPr>
              <w:t>、锥栗“建瓯1</w:t>
            </w:r>
            <w:r>
              <w:rPr>
                <w:rFonts w:ascii="仿宋_GB2312" w:hAnsi="宋体" w:eastAsia="仿宋_GB2312" w:cs="宋体"/>
                <w:sz w:val="30"/>
                <w:szCs w:val="30"/>
              </w:rPr>
              <w:t>号”</w:t>
            </w:r>
            <w:r>
              <w:rPr>
                <w:rFonts w:hint="eastAsia" w:ascii="仿宋_GB2312" w:hAnsi="宋体" w:eastAsia="仿宋_GB2312" w:cs="宋体"/>
                <w:sz w:val="30"/>
                <w:szCs w:val="30"/>
              </w:rPr>
              <w:t>、油茶无性系</w:t>
            </w:r>
            <w:r>
              <w:rPr>
                <w:rFonts w:ascii="仿宋_GB2312" w:hAnsi="宋体" w:eastAsia="仿宋_GB2312" w:cs="宋体"/>
                <w:sz w:val="30"/>
                <w:szCs w:val="30"/>
              </w:rPr>
              <w:t>FAFU-1</w:t>
            </w:r>
            <w:r>
              <w:rPr>
                <w:rFonts w:hint="eastAsia" w:ascii="仿宋_GB2312" w:hAnsi="宋体" w:eastAsia="仿宋_GB2312" w:cs="宋体"/>
                <w:sz w:val="30"/>
                <w:szCs w:val="30"/>
              </w:rPr>
              <w:t>等15个林木良种，</w:t>
            </w:r>
            <w:r>
              <w:rPr>
                <w:rFonts w:ascii="仿宋_GB2312" w:hAnsi="宋体" w:eastAsia="仿宋_GB2312" w:cs="宋体"/>
                <w:sz w:val="30"/>
                <w:szCs w:val="30"/>
              </w:rPr>
              <w:t>首次发现植物蓝光受体的光激活与失活机制，首次</w:t>
            </w:r>
            <w:r>
              <w:rPr>
                <w:rFonts w:hint="eastAsia" w:ascii="仿宋_GB2312" w:hAnsi="宋体" w:eastAsia="仿宋_GB2312" w:cs="宋体"/>
                <w:sz w:val="30"/>
                <w:szCs w:val="30"/>
              </w:rPr>
              <w:t>建立基于麻竹营养器官的遗传转化系统，发明了可操作竹子内源基因的基因编辑系统，突破制约竹子基因工程育种的技术瓶颈。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1198" w:type="pct"/>
            <w:shd w:val="clear" w:color="auto" w:fill="FFFFFF"/>
            <w:tcMar>
              <w:top w:w="10" w:type="dxa"/>
              <w:left w:w="10" w:type="dxa"/>
              <w:right w:w="10" w:type="dxa"/>
            </w:tcMar>
            <w:vAlign w:val="center"/>
          </w:tcPr>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森林资源经营</w:t>
            </w:r>
          </w:p>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管理</w:t>
            </w:r>
          </w:p>
        </w:tc>
        <w:tc>
          <w:tcPr>
            <w:tcW w:w="3802" w:type="pct"/>
            <w:shd w:val="clear" w:color="auto" w:fill="FFFFFF"/>
            <w:tcMar>
              <w:top w:w="10" w:type="dxa"/>
              <w:left w:w="10" w:type="dxa"/>
              <w:right w:w="10" w:type="dxa"/>
            </w:tcMa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围绕南方主要森林的调查区划、资源监测和评估、森林生长收获模型建立、可持续经营管理等的基础理论和应用技术等开展人才培养、科学研究和社会实践。该方向在森林资源经营管理、林业资产评估、森林生长收获预估、林业数表研制、林业3S技术与应用、计算机在林业上应用等方面具有优势。尤其利用地处全国集体林区和最早开展林权制度改革省份的优势，在全国率先开展森林资产评估研究，成立全国首家森林资源资产评估机构，出版首部评估教材，制定首部森林资源资产技术规范和评估准则，首次为全国第一家林业股份制企业提供森林资产评估服务，引领着全国森林资源资产评估的发展，为福建成为全国林改标杆做出了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jc w:val="center"/>
        </w:trPr>
        <w:tc>
          <w:tcPr>
            <w:tcW w:w="1198" w:type="pct"/>
            <w:shd w:val="clear" w:color="auto" w:fill="FFFFFF"/>
            <w:tcMar>
              <w:top w:w="10" w:type="dxa"/>
              <w:left w:w="10" w:type="dxa"/>
              <w:right w:w="10" w:type="dxa"/>
            </w:tcMar>
            <w:vAlign w:val="center"/>
          </w:tcPr>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水土保持</w:t>
            </w:r>
          </w:p>
        </w:tc>
        <w:tc>
          <w:tcPr>
            <w:tcW w:w="3802" w:type="pct"/>
            <w:shd w:val="clear" w:color="auto" w:fill="FFFFFF"/>
            <w:tcMar>
              <w:top w:w="10" w:type="dxa"/>
              <w:left w:w="10" w:type="dxa"/>
              <w:right w:w="10" w:type="dxa"/>
            </w:tcMa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围绕南方红壤区土壤侵蚀治理、退化山地生态系统恢复与重建、崩岗监测与治理、废弃矿山植被修复、沿海防护林营建等基础理论和应用技术等开展人才培养、科学研究和社会实践。该方向在长汀南方典型红壤侵蚀区长期开展水土流失规律、土壤侵蚀与植被演替、退化红壤区植被恢复等系列研究，筛选可供生产上应用的退化生态系统的恢复和重建技术，主持国家“十三五”科技支撑计划项目，为长汀水土流失治理提供了重要科技支撑，形成全国推广的水土流失治理长汀经验，取得了显著的治理效果，被誉为南方水土流失治理的典范，</w:t>
            </w:r>
            <w:bookmarkStart w:id="12" w:name="_GoBack"/>
            <w:r>
              <w:rPr>
                <w:rFonts w:hint="eastAsia" w:ascii="仿宋_GB2312" w:hAnsi="宋体" w:eastAsia="仿宋_GB2312" w:cs="宋体"/>
                <w:sz w:val="30"/>
                <w:szCs w:val="30"/>
              </w:rPr>
              <w:t>习</w:t>
            </w:r>
            <w:bookmarkEnd w:id="12"/>
            <w:r>
              <w:rPr>
                <w:rFonts w:hint="eastAsia" w:ascii="仿宋_GB2312" w:hAnsi="宋体" w:eastAsia="仿宋_GB2312" w:cs="宋体"/>
                <w:sz w:val="30"/>
                <w:szCs w:val="30"/>
              </w:rPr>
              <w:t>近平</w:t>
            </w:r>
            <w:r>
              <w:rPr>
                <w:rFonts w:hint="eastAsia" w:ascii="仿宋_GB2312" w:hAnsi="宋体" w:eastAsia="仿宋_GB2312" w:cs="宋体"/>
                <w:sz w:val="30"/>
                <w:szCs w:val="30"/>
                <w:lang w:eastAsia="zh-CN"/>
              </w:rPr>
              <w:t>总书记</w:t>
            </w:r>
            <w:r>
              <w:rPr>
                <w:rFonts w:hint="eastAsia" w:ascii="仿宋_GB2312" w:hAnsi="宋体" w:eastAsia="仿宋_GB2312" w:cs="宋体"/>
                <w:sz w:val="30"/>
                <w:szCs w:val="30"/>
              </w:rPr>
              <w:t>为长汀水土流失治理作了两次批示。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1198" w:type="pct"/>
            <w:shd w:val="clear" w:color="auto" w:fill="FFFFFF"/>
            <w:tcMar>
              <w:top w:w="10" w:type="dxa"/>
              <w:left w:w="10" w:type="dxa"/>
              <w:right w:w="10" w:type="dxa"/>
            </w:tcMar>
            <w:vAlign w:val="center"/>
          </w:tcPr>
          <w:p>
            <w:pPr>
              <w:spacing w:line="600" w:lineRule="exact"/>
              <w:jc w:val="center"/>
              <w:rPr>
                <w:rFonts w:ascii="仿宋_GB2312" w:hAnsi="宋体" w:eastAsia="仿宋_GB2312" w:cs="宋体"/>
                <w:sz w:val="30"/>
                <w:szCs w:val="30"/>
              </w:rPr>
            </w:pPr>
            <w:r>
              <w:rPr>
                <w:rFonts w:hint="eastAsia" w:ascii="仿宋_GB2312" w:hAnsi="宋体" w:eastAsia="仿宋_GB2312" w:cs="宋体"/>
                <w:sz w:val="30"/>
                <w:szCs w:val="30"/>
              </w:rPr>
              <w:t>森林保护</w:t>
            </w:r>
          </w:p>
        </w:tc>
        <w:tc>
          <w:tcPr>
            <w:tcW w:w="3802" w:type="pct"/>
            <w:shd w:val="clear" w:color="auto" w:fill="FFFFFF"/>
            <w:tcMar>
              <w:top w:w="10" w:type="dxa"/>
              <w:left w:w="10" w:type="dxa"/>
              <w:right w:w="10" w:type="dxa"/>
            </w:tcMar>
          </w:tcPr>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围绕南方主要林业有害生物的成灾机理、发生发展规律、综合控制的基础理论和应用技术等开展科学研究、社会服务和人才培养。在松树、杉木、桉树、毛竹、木麻黄等主要树种有害生物防控的基础理论和应用研究方面具有特色。尤其针对松材线虫病传播媒介松墨天牛的控制，主持国家林业公益性行业重大专项，率先研制出基于信息素技术的媒介昆虫松墨天牛高效诱剂，开发出基于大空间尺度的高精度松材线虫病无人机监测技术，创建了基于大数据技术的松材线虫病防控管理系统，在遏制我国松材线虫病的扩散蔓延中发挥了重要作用。成果在</w:t>
            </w:r>
            <w:r>
              <w:rPr>
                <w:rFonts w:ascii="仿宋_GB2312" w:hAnsi="宋体" w:eastAsia="仿宋_GB2312" w:cs="宋体"/>
                <w:sz w:val="30"/>
                <w:szCs w:val="30"/>
              </w:rPr>
              <w:t>21个省份推广4000 多万亩，成为我国防治松材线虫病的重要技术，获福建省科</w:t>
            </w:r>
            <w:r>
              <w:rPr>
                <w:rFonts w:hint="eastAsia" w:ascii="仿宋_GB2312" w:hAnsi="宋体" w:eastAsia="仿宋_GB2312" w:cs="宋体"/>
                <w:sz w:val="30"/>
                <w:szCs w:val="30"/>
              </w:rPr>
              <w:t>技进步一等奖，被国家林业和草原局列为重点推广成果。</w:t>
            </w:r>
          </w:p>
        </w:tc>
      </w:tr>
    </w:tbl>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2.师资队伍</w:t>
      </w:r>
    </w:p>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r>
        <w:rPr>
          <w:rFonts w:hint="eastAsia" w:ascii="仿宋_GB2312" w:hAnsi="宋体" w:eastAsia="仿宋_GB2312" w:cs="宋体"/>
          <w:sz w:val="32"/>
          <w:szCs w:val="32"/>
        </w:rPr>
        <w:t>现有专任教师68人。其中正高级18人，副高级25人，中级23人。2021年新晋升博士生导师3人，现有博士生导师18人（含兼职博士生导师2人），硕士生导师41人。58人有博士学位，占85.3%；45岁以下青年教师42人，占61.8%；3</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人最高学位非本单位获得，占5</w:t>
      </w:r>
      <w:r>
        <w:rPr>
          <w:rFonts w:hint="eastAsia" w:ascii="仿宋_GB2312" w:hAnsi="宋体" w:eastAsia="仿宋_GB2312" w:cs="宋体"/>
          <w:sz w:val="32"/>
          <w:szCs w:val="32"/>
          <w:lang w:val="en-US" w:eastAsia="zh-CN"/>
        </w:rPr>
        <w:t>4.4</w:t>
      </w:r>
      <w:r>
        <w:rPr>
          <w:rFonts w:hint="eastAsia" w:ascii="仿宋_GB2312" w:hAnsi="宋体" w:eastAsia="仿宋_GB2312" w:cs="宋体"/>
          <w:sz w:val="32"/>
          <w:szCs w:val="32"/>
        </w:rPr>
        <w:t>%。2021年</w:t>
      </w:r>
      <w:r>
        <w:rPr>
          <w:rFonts w:ascii="仿宋_GB2312" w:hAnsi="宋体" w:eastAsia="仿宋_GB2312" w:cs="宋体"/>
          <w:sz w:val="32"/>
          <w:szCs w:val="32"/>
        </w:rPr>
        <w:t>有1名教师获享受国务院政府特殊津贴，并获福建省高校优秀共产党员荣誉称号，1名教师被授予校脱贫攻坚专项奖励，</w:t>
      </w:r>
      <w:r>
        <w:rPr>
          <w:rFonts w:hint="eastAsia" w:ascii="仿宋_GB2312" w:hAnsi="宋体" w:eastAsia="仿宋_GB2312" w:cs="宋体"/>
          <w:sz w:val="32"/>
          <w:szCs w:val="32"/>
        </w:rPr>
        <w:t>6名教师入选福建省2</w:t>
      </w:r>
      <w:r>
        <w:rPr>
          <w:rFonts w:ascii="仿宋_GB2312" w:hAnsi="宋体" w:eastAsia="仿宋_GB2312" w:cs="宋体"/>
          <w:sz w:val="32"/>
          <w:szCs w:val="32"/>
        </w:rPr>
        <w:t>021年省级高层次人才（B类</w:t>
      </w:r>
      <w:r>
        <w:rPr>
          <w:rFonts w:hint="eastAsia" w:ascii="仿宋_GB2312" w:hAnsi="宋体" w:eastAsia="仿宋_GB2312" w:cs="宋体"/>
          <w:sz w:val="32"/>
          <w:szCs w:val="32"/>
        </w:rPr>
        <w:t>2人，C</w:t>
      </w:r>
      <w:r>
        <w:rPr>
          <w:rFonts w:ascii="仿宋_GB2312" w:hAnsi="宋体" w:eastAsia="仿宋_GB2312" w:cs="宋体"/>
          <w:sz w:val="32"/>
          <w:szCs w:val="32"/>
        </w:rPr>
        <w:t>类</w:t>
      </w:r>
      <w:r>
        <w:rPr>
          <w:rFonts w:hint="eastAsia" w:ascii="仿宋_GB2312" w:hAnsi="宋体" w:eastAsia="仿宋_GB2312" w:cs="宋体"/>
          <w:sz w:val="32"/>
          <w:szCs w:val="32"/>
        </w:rPr>
        <w:t>4人），</w:t>
      </w:r>
      <w:r>
        <w:rPr>
          <w:rFonts w:ascii="仿宋_GB2312" w:hAnsi="宋体" w:eastAsia="仿宋_GB2312" w:cs="宋体"/>
          <w:sz w:val="32"/>
          <w:szCs w:val="32"/>
        </w:rPr>
        <w:t>1名教师受邀参加中国科协第十次全国代表大会</w:t>
      </w:r>
      <w:r>
        <w:rPr>
          <w:rFonts w:hint="eastAsia" w:ascii="仿宋_GB2312" w:hAnsi="宋体" w:eastAsia="仿宋_GB2312" w:cs="宋体"/>
          <w:sz w:val="32"/>
          <w:szCs w:val="32"/>
        </w:rPr>
        <w:t>，2人次入选校杰青人才培育计划，</w:t>
      </w:r>
      <w:r>
        <w:rPr>
          <w:rFonts w:ascii="仿宋_GB2312" w:hAnsi="宋体" w:eastAsia="仿宋_GB2312" w:cs="宋体"/>
          <w:sz w:val="32"/>
          <w:szCs w:val="32"/>
        </w:rPr>
        <w:t>3S技术与资源优化利用福建省高校重点实验室获第十八届“福建青年五四奖章”集体</w:t>
      </w:r>
      <w:r>
        <w:rPr>
          <w:rFonts w:hint="eastAsia" w:ascii="仿宋_GB2312" w:hAnsi="宋体" w:eastAsia="仿宋_GB2312" w:cs="宋体"/>
          <w:sz w:val="32"/>
          <w:szCs w:val="32"/>
        </w:rPr>
        <w:t>。</w:t>
      </w:r>
      <w:r>
        <w:rPr>
          <w:rFonts w:ascii="仿宋_GB2312" w:hAnsi="宋体" w:eastAsia="仿宋_GB2312" w:cs="宋体"/>
          <w:sz w:val="32"/>
          <w:szCs w:val="32"/>
        </w:rPr>
        <w:t>绿泽源水土保持公益团队被评为福州市“工人（五一）先锋号”，“闽台特色林木高效培育与保护教师团队”获评全国高校黄大年式教师团队。</w:t>
      </w:r>
    </w:p>
    <w:p>
      <w:pPr>
        <w:spacing w:line="360" w:lineRule="auto"/>
        <w:jc w:val="left"/>
        <w:outlineLvl w:val="2"/>
        <w:rPr>
          <w:rFonts w:ascii="仿宋_GB2312" w:hAnsi="仿宋" w:eastAsia="仿宋_GB2312" w:cs="仿宋"/>
          <w:sz w:val="32"/>
          <w:szCs w:val="32"/>
        </w:rPr>
      </w:pPr>
      <w:bookmarkStart w:id="5" w:name="_Toc101526921"/>
      <w:r>
        <w:rPr>
          <w:rFonts w:ascii="仿宋_GB2312" w:hAnsi="宋体" w:eastAsia="仿宋_GB2312" w:cs="宋体"/>
          <w:sz w:val="32"/>
          <w:szCs w:val="32"/>
        </w:rPr>
        <w:drawing>
          <wp:inline distT="0" distB="0" distL="0" distR="0">
            <wp:extent cx="1720850" cy="1162050"/>
            <wp:effectExtent l="1905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noChangeArrowheads="1"/>
                    </pic:cNvPicPr>
                  </pic:nvPicPr>
                  <pic:blipFill>
                    <a:blip r:embed="rId7"/>
                    <a:srcRect l="1488" t="1237" r="1190" b="1720"/>
                    <a:stretch>
                      <a:fillRect/>
                    </a:stretch>
                  </pic:blipFill>
                  <pic:spPr>
                    <a:xfrm>
                      <a:off x="0" y="0"/>
                      <a:ext cx="1720850" cy="1162050"/>
                    </a:xfrm>
                    <a:prstGeom prst="rect">
                      <a:avLst/>
                    </a:prstGeom>
                    <a:noFill/>
                    <a:ln w="9525">
                      <a:noFill/>
                      <a:miter lim="800000"/>
                      <a:headEnd/>
                      <a:tailEnd/>
                    </a:ln>
                  </pic:spPr>
                </pic:pic>
              </a:graphicData>
            </a:graphic>
          </wp:inline>
        </w:drawing>
      </w:r>
      <w:r>
        <w:rPr>
          <w:rFonts w:ascii="仿宋_GB2312" w:hAnsi="宋体" w:eastAsia="仿宋_GB2312" w:cs="宋体"/>
          <w:sz w:val="32"/>
          <w:szCs w:val="32"/>
        </w:rPr>
        <w:drawing>
          <wp:inline distT="0" distB="0" distL="0" distR="0">
            <wp:extent cx="1905000" cy="1219200"/>
            <wp:effectExtent l="19050" t="0" r="0" b="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8"/>
                    <a:srcRect l="1398" t="2325" r="2164" b="3256"/>
                    <a:stretch>
                      <a:fillRect/>
                    </a:stretch>
                  </pic:blipFill>
                  <pic:spPr>
                    <a:xfrm>
                      <a:off x="0" y="0"/>
                      <a:ext cx="1905000" cy="1219200"/>
                    </a:xfrm>
                    <a:prstGeom prst="rect">
                      <a:avLst/>
                    </a:prstGeom>
                    <a:noFill/>
                    <a:ln w="9525">
                      <a:noFill/>
                      <a:miter lim="800000"/>
                      <a:headEnd/>
                      <a:tailEnd/>
                    </a:ln>
                  </pic:spPr>
                </pic:pic>
              </a:graphicData>
            </a:graphic>
          </wp:inline>
        </w:drawing>
      </w:r>
      <w:bookmarkEnd w:id="5"/>
      <w:bookmarkStart w:id="6" w:name="_Toc101526922"/>
      <w:r>
        <w:rPr>
          <w:rFonts w:ascii="仿宋_GB2312" w:hAnsi="宋体" w:eastAsia="仿宋_GB2312" w:cs="宋体"/>
          <w:sz w:val="32"/>
          <w:szCs w:val="32"/>
        </w:rPr>
        <w:drawing>
          <wp:inline distT="0" distB="0" distL="0" distR="0">
            <wp:extent cx="2032000" cy="1320800"/>
            <wp:effectExtent l="19050" t="0" r="6350" b="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9"/>
                    <a:srcRect l="893" t="1979" r="1190" b="1720"/>
                    <a:stretch>
                      <a:fillRect/>
                    </a:stretch>
                  </pic:blipFill>
                  <pic:spPr>
                    <a:xfrm>
                      <a:off x="0" y="0"/>
                      <a:ext cx="2032000" cy="1320800"/>
                    </a:xfrm>
                    <a:prstGeom prst="rect">
                      <a:avLst/>
                    </a:prstGeom>
                    <a:noFill/>
                    <a:ln w="9525">
                      <a:noFill/>
                      <a:miter lim="800000"/>
                      <a:headEnd/>
                      <a:tailEnd/>
                    </a:ln>
                  </pic:spPr>
                </pic:pic>
              </a:graphicData>
            </a:graphic>
          </wp:inline>
        </w:drawing>
      </w:r>
      <w:bookmarkEnd w:id="6"/>
    </w:p>
    <w:p>
      <w:pPr>
        <w:snapToGrid w:val="0"/>
        <w:spacing w:beforeLines="50" w:line="600" w:lineRule="exact"/>
        <w:ind w:firstLine="480" w:firstLineChars="200"/>
        <w:jc w:val="center"/>
        <w:rPr>
          <w:rFonts w:ascii="宋体" w:hAnsi="宋体" w:cs="宋体"/>
          <w:sz w:val="24"/>
          <w:szCs w:val="24"/>
        </w:rPr>
      </w:pPr>
      <w:r>
        <w:rPr>
          <w:rFonts w:hint="eastAsia" w:ascii="宋体" w:hAnsi="宋体" w:cs="宋体"/>
          <w:sz w:val="24"/>
          <w:szCs w:val="24"/>
        </w:rPr>
        <w:t>图1-1林学一级学科博士学位点专任教师结构</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3.科学研究</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2021年学位点主持国家自然科学基金海峡联合基金（重点支持项目）、国家重点研发相关任务50多项，获得国家科学技术进步二等奖1项（参加），获省部级</w:t>
      </w:r>
      <w:r>
        <w:rPr>
          <w:rFonts w:ascii="仿宋_GB2312" w:hAnsi="宋体" w:eastAsia="仿宋_GB2312" w:cs="宋体"/>
          <w:sz w:val="32"/>
          <w:szCs w:val="32"/>
        </w:rPr>
        <w:t>科技</w:t>
      </w:r>
      <w:r>
        <w:rPr>
          <w:rFonts w:hint="eastAsia" w:ascii="仿宋_GB2312" w:hAnsi="宋体" w:eastAsia="仿宋_GB2312" w:cs="宋体"/>
          <w:sz w:val="32"/>
          <w:szCs w:val="32"/>
        </w:rPr>
        <w:t>进步二等</w:t>
      </w:r>
      <w:r>
        <w:rPr>
          <w:rFonts w:ascii="仿宋_GB2312" w:hAnsi="宋体" w:eastAsia="仿宋_GB2312" w:cs="宋体"/>
          <w:sz w:val="32"/>
          <w:szCs w:val="32"/>
        </w:rPr>
        <w:t>奖</w:t>
      </w:r>
      <w:r>
        <w:rPr>
          <w:rFonts w:hint="eastAsia" w:ascii="仿宋_GB2312" w:hAnsi="宋体" w:eastAsia="仿宋_GB2312" w:cs="宋体"/>
          <w:sz w:val="32"/>
          <w:szCs w:val="32"/>
        </w:rPr>
        <w:t>3项、三等奖1项，在《</w:t>
      </w:r>
      <w:r>
        <w:rPr>
          <w:rFonts w:ascii="仿宋_GB2312" w:hAnsi="宋体" w:eastAsia="仿宋_GB2312" w:cs="宋体"/>
          <w:sz w:val="32"/>
          <w:szCs w:val="32"/>
        </w:rPr>
        <w:t>Nature Communications</w:t>
      </w:r>
      <w:r>
        <w:rPr>
          <w:rFonts w:hint="eastAsia" w:ascii="仿宋_GB2312" w:hAnsi="宋体" w:eastAsia="仿宋_GB2312" w:cs="宋体"/>
          <w:sz w:val="32"/>
          <w:szCs w:val="32"/>
        </w:rPr>
        <w:t>》、《</w:t>
      </w:r>
      <w:r>
        <w:rPr>
          <w:rFonts w:ascii="仿宋_GB2312" w:hAnsi="宋体" w:eastAsia="仿宋_GB2312" w:cs="宋体"/>
          <w:sz w:val="32"/>
          <w:szCs w:val="32"/>
        </w:rPr>
        <w:t>Nature Plants</w:t>
      </w:r>
      <w:r>
        <w:rPr>
          <w:rFonts w:hint="eastAsia" w:ascii="仿宋_GB2312" w:hAnsi="宋体" w:eastAsia="仿宋_GB2312" w:cs="宋体"/>
          <w:sz w:val="32"/>
          <w:szCs w:val="32"/>
        </w:rPr>
        <w:t>》、《</w:t>
      </w:r>
      <w:r>
        <w:rPr>
          <w:rFonts w:ascii="仿宋_GB2312" w:hAnsi="宋体" w:eastAsia="仿宋_GB2312" w:cs="宋体"/>
          <w:sz w:val="32"/>
          <w:szCs w:val="32"/>
        </w:rPr>
        <w:t>The Plant Journal</w:t>
      </w:r>
      <w:r>
        <w:rPr>
          <w:rFonts w:hint="eastAsia" w:ascii="仿宋_GB2312" w:hAnsi="宋体" w:eastAsia="仿宋_GB2312" w:cs="宋体"/>
          <w:sz w:val="32"/>
          <w:szCs w:val="32"/>
        </w:rPr>
        <w:t>》等期刊上发表高水平SCI论文38篇，中文核心期刊论文100篇，制定标准6项。</w:t>
      </w:r>
      <w:r>
        <w:rPr>
          <w:rFonts w:ascii="仿宋_GB2312" w:hAnsi="宋体" w:eastAsia="仿宋_GB2312" w:cs="宋体"/>
          <w:sz w:val="32"/>
          <w:szCs w:val="32"/>
        </w:rPr>
        <w:t xml:space="preserve">在旗山种业创新基地完成了一期1700 </w:t>
      </w:r>
      <w:r>
        <w:rPr>
          <w:rFonts w:hint="eastAsia" w:ascii="仿宋_GB2312" w:hAnsi="宋体" w:eastAsia="仿宋_GB2312" w:cs="宋体"/>
          <w:sz w:val="32"/>
          <w:szCs w:val="32"/>
        </w:rPr>
        <w:t>㎡</w:t>
      </w:r>
      <w:r>
        <w:rPr>
          <w:rFonts w:ascii="仿宋_GB2312" w:hAnsi="宋体" w:eastAsia="仿宋_GB2312" w:cs="宋体"/>
          <w:sz w:val="32"/>
          <w:szCs w:val="32"/>
        </w:rPr>
        <w:t>的种苗繁育与展示工作，选育品种涉及杉木、福建柏、南方红豆杉、闽楠、香樟、油茶、锥栗等10个树种共计31个优良品种。</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4.教学科研支撑</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学位点依托主持建设的国家林草局杉木工程技术研究中心等省部级科研平台，推进学位点建设，学位点现建有1个省级协同创新中心，2个省级科研创新团队，2个省级教学团队，4支省级研究生导师团队。2021年</w:t>
      </w:r>
      <w:r>
        <w:rPr>
          <w:rFonts w:ascii="仿宋_GB2312" w:hAnsi="宋体" w:eastAsia="仿宋_GB2312" w:cs="宋体"/>
          <w:sz w:val="32"/>
          <w:szCs w:val="32"/>
        </w:rPr>
        <w:t>结合林业</w:t>
      </w:r>
      <w:r>
        <w:rPr>
          <w:rFonts w:hint="eastAsia" w:ascii="仿宋_GB2312" w:hAnsi="宋体" w:eastAsia="仿宋_GB2312" w:cs="宋体"/>
          <w:sz w:val="32"/>
          <w:szCs w:val="32"/>
        </w:rPr>
        <w:t>新发展理论及提升增效发展</w:t>
      </w:r>
      <w:r>
        <w:rPr>
          <w:rFonts w:ascii="仿宋_GB2312" w:hAnsi="宋体" w:eastAsia="仿宋_GB2312" w:cs="宋体"/>
          <w:sz w:val="32"/>
          <w:szCs w:val="32"/>
        </w:rPr>
        <w:t>需求，</w:t>
      </w:r>
      <w:r>
        <w:rPr>
          <w:rFonts w:hint="eastAsia" w:ascii="仿宋_GB2312" w:hAnsi="宋体" w:eastAsia="仿宋_GB2312" w:cs="宋体"/>
          <w:sz w:val="32"/>
          <w:szCs w:val="32"/>
        </w:rPr>
        <w:t>学位点开展</w:t>
      </w:r>
      <w:r>
        <w:rPr>
          <w:rFonts w:ascii="仿宋_GB2312" w:hAnsi="宋体" w:eastAsia="仿宋_GB2312" w:cs="宋体"/>
          <w:sz w:val="32"/>
          <w:szCs w:val="32"/>
        </w:rPr>
        <w:t>培养方案</w:t>
      </w:r>
      <w:r>
        <w:rPr>
          <w:rFonts w:hint="eastAsia" w:ascii="仿宋_GB2312" w:hAnsi="宋体" w:eastAsia="仿宋_GB2312" w:cs="宋体"/>
          <w:sz w:val="32"/>
          <w:szCs w:val="32"/>
        </w:rPr>
        <w:t>修订</w:t>
      </w:r>
      <w:r>
        <w:rPr>
          <w:rFonts w:ascii="仿宋_GB2312" w:hAnsi="宋体" w:eastAsia="仿宋_GB2312" w:cs="宋体"/>
          <w:sz w:val="32"/>
          <w:szCs w:val="32"/>
        </w:rPr>
        <w:t>和论证</w:t>
      </w:r>
      <w:r>
        <w:rPr>
          <w:rFonts w:hint="eastAsia" w:ascii="仿宋_GB2312" w:hAnsi="宋体" w:eastAsia="仿宋_GB2312" w:cs="宋体"/>
          <w:sz w:val="32"/>
          <w:szCs w:val="32"/>
        </w:rPr>
        <w:t>，修订研究生学位授予标准、科技创新性成果认定方办法和培养方案。同时，扎实推进教育教学改革，2021年获立项建设专业学位研究生课程教学案例库2项、校研究生在线开放课程1项、全英文课程建设项目1项、示范性课程立项1项，并获校研究生教学成果奖一等奖1项，主编2部研究生教材获国家林草局“十四五”规划立项建设。</w:t>
      </w:r>
      <w:r>
        <w:rPr>
          <w:rFonts w:ascii="仿宋_GB2312" w:hAnsi="宋体" w:eastAsia="仿宋_GB2312" w:cs="宋体"/>
          <w:sz w:val="32"/>
          <w:szCs w:val="32"/>
        </w:rPr>
        <w:t>选拔10名博硕士研究生参加校第一届研究生科技周活动汇报，举办</w:t>
      </w:r>
      <w:r>
        <w:rPr>
          <w:rFonts w:hint="eastAsia" w:ascii="仿宋_GB2312" w:hAnsi="宋体" w:eastAsia="仿宋_GB2312" w:cs="宋体"/>
          <w:sz w:val="32"/>
          <w:szCs w:val="32"/>
        </w:rPr>
        <w:t>26场</w:t>
      </w:r>
      <w:r>
        <w:rPr>
          <w:rFonts w:ascii="仿宋_GB2312" w:hAnsi="宋体" w:eastAsia="仿宋_GB2312" w:cs="宋体"/>
          <w:sz w:val="32"/>
          <w:szCs w:val="32"/>
        </w:rPr>
        <w:t>研究生专题学术报告会，组织开展</w:t>
      </w:r>
      <w:r>
        <w:rPr>
          <w:rFonts w:hint="eastAsia" w:ascii="仿宋_GB2312" w:hAnsi="宋体" w:eastAsia="仿宋_GB2312" w:cs="宋体"/>
          <w:sz w:val="32"/>
          <w:szCs w:val="32"/>
        </w:rPr>
        <w:t>5场</w:t>
      </w:r>
      <w:r>
        <w:rPr>
          <w:rFonts w:ascii="仿宋_GB2312" w:hAnsi="宋体" w:eastAsia="仿宋_GB2312" w:cs="宋体"/>
          <w:sz w:val="32"/>
          <w:szCs w:val="32"/>
        </w:rPr>
        <w:t>研究学术诚信教育活动。</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5.奖助体系</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制定和实施了完善的研究生奖助体系，奖助资金主要来源于国家和学校拨款、导师科研项目和社会捐赠。2021年本学位点研究生助学金、助研补贴覆盖率100%，其中9人获得国家奖学金，316人获得国家助学金，157人获得学业奖学金，总计发放奖助金350.84万元（不含导师发放的助研补助）。</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6.管理服务</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校研究生院下设招生办、培养办、学位办、质量监督办等，学院设有研究生管理办公室，配备专职教学管理人员2名，按1：200的师生比配置辅导员2名。出台、修订了《福建农林大学学生管理规定》等系列文件、办法，出版了《福建农林大学研究生教育工作手册》,汇编了60个研究生教育管理过程和质量保障文件，保障学位点工作规范化、程序化运行。建立了“研究生招生管理系统”、“研究生教育管理信息系统”和“学位信息采集系统”，研究生培养过程中产生的重要档案均由专人编码存档。</w:t>
      </w:r>
    </w:p>
    <w:p>
      <w:pPr>
        <w:pStyle w:val="3"/>
        <w:ind w:firstLine="643"/>
      </w:pPr>
      <w:bookmarkStart w:id="7" w:name="_Toc101526923"/>
      <w:r>
        <w:rPr>
          <w:rFonts w:hint="eastAsia"/>
        </w:rPr>
        <w:t>（三）人才培养</w:t>
      </w:r>
      <w:bookmarkEnd w:id="7"/>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1.思想政治教育</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学院成立理论学习领导小组，组织师生学习习近平新时代中国特色社会主义思想，学习建党百年以来党史国史，全面提升师生思想政治素质和理论水平，</w:t>
      </w:r>
      <w:r>
        <w:rPr>
          <w:rFonts w:ascii="仿宋_GB2312" w:hAnsi="宋体" w:eastAsia="仿宋_GB2312" w:cs="宋体"/>
          <w:sz w:val="32"/>
          <w:szCs w:val="32"/>
        </w:rPr>
        <w:t>开展了一系列学党、知党、爱党活动，组织了</w:t>
      </w:r>
      <w:r>
        <w:rPr>
          <w:rFonts w:hint="eastAsia" w:ascii="仿宋_GB2312" w:hAnsi="宋体" w:eastAsia="仿宋_GB2312" w:cs="宋体"/>
          <w:sz w:val="32"/>
          <w:szCs w:val="32"/>
        </w:rPr>
        <w:t>4</w:t>
      </w:r>
      <w:r>
        <w:rPr>
          <w:rFonts w:ascii="仿宋_GB2312" w:hAnsi="宋体" w:eastAsia="仿宋_GB2312" w:cs="宋体"/>
          <w:sz w:val="32"/>
          <w:szCs w:val="32"/>
        </w:rPr>
        <w:t>次专题学习会，</w:t>
      </w:r>
      <w:r>
        <w:rPr>
          <w:rFonts w:hint="eastAsia" w:ascii="仿宋_GB2312" w:hAnsi="宋体" w:eastAsia="仿宋_GB2312" w:cs="宋体"/>
          <w:sz w:val="32"/>
          <w:szCs w:val="32"/>
        </w:rPr>
        <w:t>1</w:t>
      </w:r>
      <w:r>
        <w:rPr>
          <w:rFonts w:ascii="仿宋_GB2312" w:hAnsi="宋体" w:eastAsia="仿宋_GB2312" w:cs="宋体"/>
          <w:sz w:val="32"/>
          <w:szCs w:val="32"/>
        </w:rPr>
        <w:t>次组织生活会，</w:t>
      </w:r>
      <w:r>
        <w:rPr>
          <w:rFonts w:hint="eastAsia" w:ascii="仿宋_GB2312" w:hAnsi="宋体" w:eastAsia="仿宋_GB2312" w:cs="宋体"/>
          <w:sz w:val="32"/>
          <w:szCs w:val="32"/>
        </w:rPr>
        <w:t>2</w:t>
      </w:r>
      <w:r>
        <w:rPr>
          <w:rFonts w:ascii="仿宋_GB2312" w:hAnsi="宋体" w:eastAsia="仿宋_GB2312" w:cs="宋体"/>
          <w:sz w:val="32"/>
          <w:szCs w:val="32"/>
        </w:rPr>
        <w:t>次学习交流会，</w:t>
      </w:r>
      <w:r>
        <w:rPr>
          <w:rFonts w:hint="eastAsia" w:ascii="仿宋_GB2312" w:hAnsi="宋体" w:eastAsia="仿宋_GB2312" w:cs="宋体"/>
          <w:sz w:val="32"/>
          <w:szCs w:val="32"/>
        </w:rPr>
        <w:t>1</w:t>
      </w:r>
      <w:r>
        <w:rPr>
          <w:rFonts w:ascii="仿宋_GB2312" w:hAnsi="宋体" w:eastAsia="仿宋_GB2312" w:cs="宋体"/>
          <w:sz w:val="32"/>
          <w:szCs w:val="32"/>
        </w:rPr>
        <w:t>次党史主题团课，</w:t>
      </w:r>
      <w:r>
        <w:rPr>
          <w:rFonts w:hint="eastAsia" w:ascii="仿宋_GB2312" w:hAnsi="宋体" w:eastAsia="仿宋_GB2312" w:cs="宋体"/>
          <w:sz w:val="32"/>
          <w:szCs w:val="32"/>
        </w:rPr>
        <w:t>1</w:t>
      </w:r>
      <w:r>
        <w:rPr>
          <w:rFonts w:ascii="仿宋_GB2312" w:hAnsi="宋体" w:eastAsia="仿宋_GB2312" w:cs="宋体"/>
          <w:sz w:val="32"/>
          <w:szCs w:val="32"/>
        </w:rPr>
        <w:t>次入团仪式教育，</w:t>
      </w:r>
      <w:r>
        <w:rPr>
          <w:rFonts w:hint="eastAsia" w:ascii="仿宋_GB2312" w:hAnsi="宋体" w:eastAsia="仿宋_GB2312" w:cs="宋体"/>
          <w:sz w:val="32"/>
          <w:szCs w:val="32"/>
        </w:rPr>
        <w:t>2</w:t>
      </w:r>
      <w:r>
        <w:rPr>
          <w:rFonts w:ascii="仿宋_GB2312" w:hAnsi="宋体" w:eastAsia="仿宋_GB2312" w:cs="宋体"/>
          <w:sz w:val="32"/>
          <w:szCs w:val="32"/>
        </w:rPr>
        <w:t>次党史学习主题活动，</w:t>
      </w:r>
      <w:r>
        <w:rPr>
          <w:rFonts w:hint="eastAsia" w:ascii="仿宋_GB2312" w:hAnsi="宋体" w:eastAsia="仿宋_GB2312" w:cs="宋体"/>
          <w:sz w:val="32"/>
          <w:szCs w:val="32"/>
        </w:rPr>
        <w:t>形成了教师敬业立学、学生崇德尚学的风气风貌。师生联合成立国内首家水土保持公益组织“绿泽源”环保公益服务中心，宣传推广水土流失治理“长汀经验”；组织师生助力宁夏固原、甘肃定西脱贫攻坚和环境治理，引导学生在服务和实践中了解国情，感受国家发展，增强专业认同，提升实践育人实效。</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2.师德师风建设</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院把师德师风摆在首要位置，将党史学习教育、学习党的十九届六中全会精神、习近平总书记来闽考察重要讲话精神与立德树人有机结合，扎实推进新林科背景下“三全育人”综合改革。院党政领导深入支部宣讲党史教育重要内容18场，党支部书记支委走进“红树林论坛”讲述党的精神谱系35场，师生党员线上观看红色电影、线下赴燕子窠茶园实习等五育实践60场，开展理论中心组学习23次、教师时政学习15次，各类主题活动210次，建成森林康养实验室等办实事30项，做深做实党史学习教育，营造潜心研究、追求卓越、风清气正的教书育人环境。突出师德践行教育，强化教师服务三农，将师德师风建设融入到教书育人、科学研究和社会服务的各环节，为实施“八大工程”奠定了坚实基础。</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3.招生选拔</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本学位点2021年招收博士生12人，招收学术型硕士生93人。制定和实施了《招收研究生复试工作办法》、《硕博连读研究生选拔办法实施细则》和《申请-考核制选拔博士生实施细则》等制度，成立招生工作小组，设立第一责任人，招考各环节实行实时录像，成绩与录取及时公示，严慎细实做好研究生考试招生工作，确保公开、公平、公正。</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4.课程教学</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ascii="仿宋_GB2312" w:hAnsi="宋体" w:eastAsia="仿宋_GB2312" w:cs="宋体"/>
          <w:sz w:val="32"/>
          <w:szCs w:val="32"/>
        </w:rPr>
        <w:t>林学一级学科博士点按学位课和选修课2个模块</w:t>
      </w:r>
      <w:r>
        <w:rPr>
          <w:rFonts w:hint="eastAsia" w:ascii="仿宋_GB2312" w:hAnsi="宋体" w:eastAsia="仿宋_GB2312" w:cs="宋体"/>
          <w:sz w:val="32"/>
          <w:szCs w:val="32"/>
        </w:rPr>
        <w:t>设置</w:t>
      </w:r>
      <w:r>
        <w:rPr>
          <w:rFonts w:ascii="仿宋_GB2312" w:hAnsi="宋体" w:eastAsia="仿宋_GB2312" w:cs="宋体"/>
          <w:sz w:val="32"/>
          <w:szCs w:val="32"/>
        </w:rPr>
        <w:t>课程，</w:t>
      </w:r>
      <w:r>
        <w:rPr>
          <w:rFonts w:hint="eastAsia" w:ascii="仿宋_GB2312" w:hAnsi="宋体" w:eastAsia="仿宋_GB2312" w:cs="宋体"/>
          <w:sz w:val="32"/>
          <w:szCs w:val="32"/>
        </w:rPr>
        <w:t>博士生课程总学分要求不少于2</w:t>
      </w:r>
      <w:r>
        <w:rPr>
          <w:rFonts w:ascii="仿宋_GB2312" w:hAnsi="宋体" w:eastAsia="仿宋_GB2312" w:cs="宋体"/>
          <w:sz w:val="32"/>
          <w:szCs w:val="32"/>
        </w:rPr>
        <w:t>4</w:t>
      </w:r>
      <w:r>
        <w:rPr>
          <w:rFonts w:hint="eastAsia" w:ascii="仿宋_GB2312" w:hAnsi="宋体" w:eastAsia="仿宋_GB2312" w:cs="宋体"/>
          <w:sz w:val="32"/>
          <w:szCs w:val="32"/>
        </w:rPr>
        <w:t>学分，主要</w:t>
      </w:r>
      <w:r>
        <w:rPr>
          <w:rFonts w:ascii="仿宋_GB2312" w:hAnsi="宋体" w:eastAsia="仿宋_GB2312" w:cs="宋体"/>
          <w:sz w:val="32"/>
          <w:szCs w:val="32"/>
        </w:rPr>
        <w:t>以综合性、</w:t>
      </w:r>
      <w:r>
        <w:rPr>
          <w:rFonts w:hint="eastAsia" w:ascii="仿宋_GB2312" w:hAnsi="宋体" w:eastAsia="仿宋_GB2312" w:cs="宋体"/>
          <w:sz w:val="32"/>
          <w:szCs w:val="32"/>
        </w:rPr>
        <w:t>前沿性、拓展性和研讨性</w:t>
      </w:r>
      <w:r>
        <w:rPr>
          <w:rFonts w:ascii="仿宋_GB2312" w:hAnsi="宋体" w:eastAsia="仿宋_GB2312" w:cs="宋体"/>
          <w:sz w:val="32"/>
          <w:szCs w:val="32"/>
        </w:rPr>
        <w:t>课程为主</w:t>
      </w:r>
      <w:r>
        <w:rPr>
          <w:rFonts w:hint="eastAsia" w:ascii="仿宋_GB2312" w:hAnsi="宋体" w:eastAsia="仿宋_GB2312" w:cs="宋体"/>
          <w:sz w:val="32"/>
          <w:szCs w:val="32"/>
        </w:rPr>
        <w:t>。学位课设置5门，选修课根据研究方向自主选设。</w:t>
      </w:r>
      <w:r>
        <w:rPr>
          <w:rFonts w:ascii="仿宋_GB2312" w:hAnsi="宋体" w:eastAsia="仿宋_GB2312" w:cs="宋体"/>
          <w:sz w:val="32"/>
          <w:szCs w:val="32"/>
        </w:rPr>
        <w:t>林学一级学科硕士点按</w:t>
      </w:r>
      <w:r>
        <w:rPr>
          <w:rFonts w:hint="eastAsia" w:ascii="仿宋_GB2312" w:hAnsi="宋体" w:eastAsia="仿宋_GB2312" w:cs="宋体"/>
          <w:sz w:val="32"/>
          <w:szCs w:val="32"/>
        </w:rPr>
        <w:t>学位课、非学位课，非学位课按</w:t>
      </w:r>
      <w:r>
        <w:rPr>
          <w:rFonts w:ascii="仿宋_GB2312" w:hAnsi="宋体" w:eastAsia="仿宋_GB2312" w:cs="宋体"/>
          <w:sz w:val="32"/>
          <w:szCs w:val="32"/>
        </w:rPr>
        <w:t>必修课和选修课</w:t>
      </w:r>
      <w:r>
        <w:rPr>
          <w:rFonts w:hint="eastAsia" w:ascii="仿宋_GB2312" w:hAnsi="宋体" w:eastAsia="仿宋_GB2312" w:cs="宋体"/>
          <w:sz w:val="32"/>
          <w:szCs w:val="32"/>
        </w:rPr>
        <w:t>2</w:t>
      </w:r>
      <w:r>
        <w:rPr>
          <w:rFonts w:ascii="仿宋_GB2312" w:hAnsi="宋体" w:eastAsia="仿宋_GB2312" w:cs="宋体"/>
          <w:sz w:val="32"/>
          <w:szCs w:val="32"/>
        </w:rPr>
        <w:t>个模块开设，</w:t>
      </w:r>
      <w:r>
        <w:rPr>
          <w:rFonts w:hint="eastAsia" w:ascii="仿宋_GB2312" w:hAnsi="宋体" w:eastAsia="仿宋_GB2312" w:cs="宋体"/>
          <w:sz w:val="32"/>
          <w:szCs w:val="32"/>
        </w:rPr>
        <w:t>学位课8门，</w:t>
      </w:r>
      <w:r>
        <w:rPr>
          <w:rFonts w:ascii="仿宋_GB2312" w:hAnsi="宋体" w:eastAsia="仿宋_GB2312" w:cs="宋体"/>
          <w:sz w:val="32"/>
          <w:szCs w:val="32"/>
        </w:rPr>
        <w:t>必修</w:t>
      </w:r>
      <w:r>
        <w:rPr>
          <w:rFonts w:hint="eastAsia" w:ascii="仿宋_GB2312" w:hAnsi="宋体" w:eastAsia="仿宋_GB2312" w:cs="宋体"/>
          <w:sz w:val="32"/>
          <w:szCs w:val="32"/>
        </w:rPr>
        <w:t>非学位课3门，</w:t>
      </w:r>
      <w:r>
        <w:rPr>
          <w:rFonts w:ascii="仿宋_GB2312" w:hAnsi="宋体" w:eastAsia="仿宋_GB2312" w:cs="宋体"/>
          <w:sz w:val="32"/>
          <w:szCs w:val="32"/>
        </w:rPr>
        <w:t>课程总学分要求不少于33学分，其中课程学习不少于28学分，培养环节不少于5学分</w:t>
      </w:r>
      <w:r>
        <w:rPr>
          <w:rFonts w:hint="eastAsia" w:ascii="仿宋_GB2312" w:hAnsi="宋体" w:eastAsia="仿宋_GB2312" w:cs="宋体"/>
          <w:sz w:val="32"/>
          <w:szCs w:val="32"/>
        </w:rPr>
        <w:t>。</w:t>
      </w:r>
      <w:r>
        <w:rPr>
          <w:rFonts w:ascii="仿宋_GB2312" w:hAnsi="宋体" w:eastAsia="仿宋_GB2312" w:cs="宋体"/>
          <w:sz w:val="32"/>
          <w:szCs w:val="32"/>
        </w:rPr>
        <w:t>除思政和英语</w:t>
      </w:r>
      <w:r>
        <w:rPr>
          <w:rFonts w:hint="eastAsia" w:ascii="仿宋_GB2312" w:hAnsi="宋体" w:eastAsia="仿宋_GB2312" w:cs="宋体"/>
          <w:sz w:val="32"/>
          <w:szCs w:val="32"/>
        </w:rPr>
        <w:t>等公共</w:t>
      </w:r>
      <w:r>
        <w:rPr>
          <w:rFonts w:ascii="仿宋_GB2312" w:hAnsi="宋体" w:eastAsia="仿宋_GB2312" w:cs="宋体"/>
          <w:sz w:val="32"/>
          <w:szCs w:val="32"/>
        </w:rPr>
        <w:t>课外，其余课程均由</w:t>
      </w:r>
      <w:r>
        <w:rPr>
          <w:rFonts w:hint="eastAsia" w:ascii="仿宋_GB2312" w:hAnsi="宋体" w:eastAsia="仿宋_GB2312" w:cs="宋体"/>
          <w:sz w:val="32"/>
          <w:szCs w:val="32"/>
        </w:rPr>
        <w:t>学院骨干</w:t>
      </w:r>
      <w:r>
        <w:rPr>
          <w:rFonts w:ascii="仿宋_GB2312" w:hAnsi="宋体" w:eastAsia="仿宋_GB2312" w:cs="宋体"/>
          <w:sz w:val="32"/>
          <w:szCs w:val="32"/>
        </w:rPr>
        <w:t>教师讲授。</w:t>
      </w:r>
      <w:r>
        <w:rPr>
          <w:rFonts w:hint="eastAsia" w:ascii="仿宋_GB2312" w:hAnsi="宋体" w:eastAsia="仿宋_GB2312" w:cs="宋体"/>
          <w:sz w:val="32"/>
          <w:szCs w:val="32"/>
        </w:rPr>
        <w:t>同时聘请“基础林学与蛋白质组学研究中心”顶尖学者到校全时开设《实验数据与统计分析》、《林业生物技术》等国际优质课程。</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5.导师管理</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研究生导师实行动态遴选，实行动态化管理模式，结合学生培养质量确定招生招标。注重师德师风培训，开展导师相关培训6场。设立研究生评教反馈机制，督促导师定期与学生谈心谈话。打造“双师型”导师队伍，提供专项经费保障师资培训，“双师”型导师占导师总人数的90%以上。扎实落实导师组制，形成学科交叉合力推动创新性研究，在绩效考核、成果认定上保障导师团队协同育人的积极性。积极拓展导师国际化视野和学术水平，11位导师担任《</w:t>
      </w:r>
      <w:r>
        <w:rPr>
          <w:rFonts w:ascii="仿宋_GB2312" w:hAnsi="宋体" w:eastAsia="仿宋_GB2312" w:cs="宋体"/>
          <w:sz w:val="32"/>
          <w:szCs w:val="32"/>
        </w:rPr>
        <w:t>BMC plant biology</w:t>
      </w:r>
      <w:r>
        <w:rPr>
          <w:rFonts w:hint="eastAsia" w:ascii="仿宋_GB2312" w:hAnsi="宋体" w:eastAsia="仿宋_GB2312" w:cs="宋体"/>
          <w:sz w:val="32"/>
          <w:szCs w:val="32"/>
        </w:rPr>
        <w:t>》《林业科学》等国内外期刊编委，21位导师在国内外重要学术组织担任正副负责人和秘书长。</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6.学术训练和实习实践</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术训练贯穿整个培养环节。课程教学设置综合性、讲座类、讨论类课程，邀请国内外知名学者开设学术报告，有效拓宽研究生的知识面，锻炼逻辑思维能力、语言表达能力和知识收集、分析、归纳、总结等能力。利用2个面积达4.7万亩的教学林场和主持建设的部省级科研平台等开展实践教学，充分锻炼研究生的动手能力，积极开展研究生创新创业训练，邀请升升木业董事长毛克升来校为研究生做创新创业经验分享，林学院参赛团队—FAFU-CHINA在2021年国际遗传工程机器大赛（International Genetically Engineered Machine Competition，iGEM）斩获银奖。通过论文开题、论文研究、实验设计和实施、数据收集、分析和论文撰写、答辩等环节，研究生科研能力得到极大提升。</w:t>
      </w:r>
    </w:p>
    <w:p>
      <w:pPr>
        <w:pStyle w:val="3"/>
        <w:ind w:firstLine="643"/>
      </w:pPr>
      <w:bookmarkStart w:id="8" w:name="_Toc101526924"/>
      <w:r>
        <w:rPr>
          <w:rFonts w:hint="eastAsia"/>
        </w:rPr>
        <w:t>（四）质量监控</w:t>
      </w:r>
      <w:bookmarkEnd w:id="8"/>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1.分流淘汰</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建立研究生学业预警制度，以中期考核为抓手，严格把关“课程成绩”、“修读学分”和“论文开题情况”，对未达到要求的研究生，均要求延迟毕业或退学。鼓励优秀研究生提前攻读博士学位或赴海外访学，对于成绩优秀的二年级及以上的硕士研究生，鼓励硕博连读或通过申请-考核制直接攻读博士学位。学科与美国加州大学洛杉矶分校、荷兰瓦格宁根大学、德国哥廷根大学、日本东京大学等20 多所海外高校建立了合作关系，是欧盟依拉莫斯教育培训项目成员单位。2015级森林培育专业博士研究生何艺凡和2017级森林培育专业博士研究生宋倩倩获批学校优秀学生海外访学基金。</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2.学位论文</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严把学位论文质量出口关，建立学术不端行为检测、学位论文论文盲审、学位论文抽检的“三位一体”工作机制。委托第三方平台进行论文送审，实现毕业论文100%双盲审。2021年有1篇博士论文和4篇硕士论文被评为2021年福建农林大学研究生优秀学位论文。</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3.学风教育</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定期开展科学道德和学术规范教育，建章立制保障优良学风。设立优秀研究生培育项目。通过学生自愿申报，学院学校组织专家评审，设立优秀研究生培育项目，鼓励研究生发挥更大的能动性，创造更优质科研成果，提高研究生培养质量。建立研究生学业预警制度同时，加强对研究生的选修学分、课程考核、科研情况等培养环节的学业跟踪，对学业困难学生开展学业预警，采取心理辅导、延期考核、规劝退学等措施，督促学生潜心科研，顺利完成学业。</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4.就业发展</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学位点2021年授予博士学位13人，其中全日制博士7人，2人在党政机关工作，4人在高校工作，1人在科研院所就业，就业率100%；授予硕士学位87人，85人就业，其中8人在党政机关工作，18人在教育单位工作，21人在科研机构工作，4人在其他事业单位工作，18人在企业工作，8人攻读博士学位，1人自主创业，7人在其他单位工作，就业率97.7%，总体上就业情况良好，就业质量较高。</w:t>
      </w:r>
    </w:p>
    <w:p>
      <w:pPr>
        <w:pStyle w:val="2"/>
        <w:spacing w:before="0" w:after="0" w:line="600" w:lineRule="exact"/>
        <w:ind w:firstLine="643" w:firstLineChars="200"/>
      </w:pPr>
      <w:bookmarkStart w:id="9" w:name="_Toc101526925"/>
      <w:r>
        <w:rPr>
          <w:rFonts w:hint="eastAsia"/>
        </w:rPr>
        <w:t>二、工作特色与成效</w:t>
      </w:r>
      <w:bookmarkEnd w:id="9"/>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在制度建设方面，建立“三段检查、三级督导、多方评教”的教学质量督导监控体系，在开学、期中和期末三阶段检查，校院系开展三级听课督导，根据校院系教学督导和学生的反馈对教学质量进行综合评价。改革教师评价制度，将教学质量综合评价结果与教师绩效工资、职称晋升和年度考核相挂钩，教学质量综合评价前20%教师的教学绩效上浮50%，对保障和提升教学质量发挥了重要导向性作用。</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在立德树人方面，“树木树人，厚德求新”的学科文化和“久久为功，科研报国”的“洋林精神”扎根学生心底，创先争优氛围浓厚，涌现出一批先进典型。院长张飞萍教授被评为福建省高校优秀共产党员，2017级博士研究生韩小红获得梁希优秀学子奖，2017级博士研究生邓洋波、2018级硕士研究生薛光宇、2018级硕士研究生姜玉婷被评为2021届全国林科优秀毕业生。“绿泽源”环保公益服务中心获“第五届中国青年志愿服务项目大赛”银奖和“福建省学雷锋最佳志愿服务项目”，获得了福州市五一先锋号。</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在科教融合方面，严格落实教授为研究生上课制度，将科研育人成效纳入教师评价考核范畴，鼓励教师将科学研究和人才培养相融合。利用学科15个省部级平台优势，推动优质师资上讲台，科研成果进课堂，课程实验入平台，“实践课程+学术竞赛的实践育人模式探索”入选省教工委高校“三全育人”改革工作案例。研究生全部参与国家级或省部级科研项目研究，2021年在《</w:t>
      </w:r>
      <w:r>
        <w:rPr>
          <w:rFonts w:ascii="仿宋_GB2312" w:hAnsi="宋体" w:eastAsia="仿宋_GB2312" w:cs="宋体"/>
          <w:sz w:val="32"/>
          <w:szCs w:val="32"/>
        </w:rPr>
        <w:t>Nature Communications</w:t>
      </w:r>
      <w:r>
        <w:rPr>
          <w:rFonts w:hint="eastAsia" w:ascii="仿宋_GB2312" w:hAnsi="宋体" w:eastAsia="仿宋_GB2312" w:cs="宋体"/>
          <w:sz w:val="32"/>
          <w:szCs w:val="32"/>
        </w:rPr>
        <w:t>》、《</w:t>
      </w:r>
      <w:r>
        <w:rPr>
          <w:rFonts w:ascii="仿宋_GB2312" w:hAnsi="宋体" w:eastAsia="仿宋_GB2312" w:cs="宋体"/>
          <w:sz w:val="32"/>
          <w:szCs w:val="32"/>
        </w:rPr>
        <w:t>Nature Plants</w:t>
      </w:r>
      <w:r>
        <w:rPr>
          <w:rFonts w:hint="eastAsia" w:ascii="仿宋_GB2312" w:hAnsi="宋体" w:eastAsia="仿宋_GB2312" w:cs="宋体"/>
          <w:sz w:val="32"/>
          <w:szCs w:val="32"/>
        </w:rPr>
        <w:t>》等国内外期刊发表学术论文百余篇。</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在产教融合方面，利用福建拥有全国最多涉林上市企业的优势，建设18个产教融合实践教学基地，推动 “龙岩国家现代林业产业园”、“洋口国家现代林业科技示范园”等建设，参与武夷山国家公园体制试点区总体规划及专项规划编制，助推武夷山国家公园体制试点。聘请80 多位基层技术骨干或管理人员协同指导实践教学，依托两个校属教学林场、校内中华名特优植物园、森林兰苑、百竹园等基地开展集产教于一体的系统模块化实践教学。</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在文化建设方面，学院书记带头讲授思政课程，院长带头开展课程思政，将“新发展理念、生态文明、两山理论、人民中心、人类命运共同体”等新思想充分融入人才培养，以良好的思政育人氛围促进校园文化建设和学风养成。疫情期间，通过举办“学院周”系列文艺活动，活跃校园文化，疏解不良情绪；开展“中日高校学术研讨会”、“</w:t>
      </w:r>
      <w:r>
        <w:rPr>
          <w:rFonts w:ascii="仿宋_GB2312" w:hAnsi="宋体" w:eastAsia="仿宋_GB2312" w:cs="宋体"/>
          <w:sz w:val="32"/>
          <w:szCs w:val="32"/>
        </w:rPr>
        <w:t>FAFU-UGAS, Iwate University Joint Seminar Series</w:t>
      </w:r>
      <w:r>
        <w:rPr>
          <w:rFonts w:hint="eastAsia" w:ascii="仿宋_GB2312" w:hAnsi="宋体" w:eastAsia="仿宋_GB2312" w:cs="宋体"/>
          <w:sz w:val="32"/>
          <w:szCs w:val="32"/>
        </w:rPr>
        <w:t>”等系列线上学术会议，有力地推动了疫情影响下的研究生学术交流。</w:t>
      </w:r>
    </w:p>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r>
        <w:rPr>
          <w:rFonts w:hint="eastAsia" w:ascii="仿宋_GB2312" w:hAnsi="宋体" w:eastAsia="仿宋_GB2312" w:cs="宋体"/>
          <w:sz w:val="32"/>
          <w:szCs w:val="32"/>
        </w:rPr>
        <w:t>在质量保障体系建设方面，在研究生培养方案制定、课程开设、开题、中期检查等个培养环节依托研究生教育教学督导委员会和课程教学质量评价系统进行督查，加强培养过程管理。设立优秀研究生培育项目，鼓励研究生发挥更大的能动性。建立研究生学业预警制度，建立学术不端行为检测、学位论文盲审、学位论文抽检的“三位一体”工作机制，严把人才培养质量关。</w:t>
      </w:r>
    </w:p>
    <w:p>
      <w:pPr>
        <w:pStyle w:val="2"/>
        <w:spacing w:before="0" w:after="0" w:line="600" w:lineRule="exact"/>
        <w:ind w:firstLine="643" w:firstLineChars="200"/>
      </w:pPr>
      <w:bookmarkStart w:id="10" w:name="_Toc101526926"/>
      <w:r>
        <w:rPr>
          <w:rFonts w:hint="eastAsia"/>
        </w:rPr>
        <w:t>三、学位点建设存在的问题</w:t>
      </w:r>
      <w:bookmarkEnd w:id="10"/>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1.研究生培养质量需要进一步提升。</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2.高层次人才引进、培养和导师团队建设仍需加强。</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3.受疫情影响，研究生参加国内外学术会议情况较少。</w:t>
      </w:r>
    </w:p>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r>
        <w:rPr>
          <w:rFonts w:hint="eastAsia" w:ascii="仿宋_GB2312" w:hAnsi="宋体" w:eastAsia="仿宋_GB2312" w:cs="宋体"/>
          <w:sz w:val="32"/>
          <w:szCs w:val="32"/>
        </w:rPr>
        <w:t>4.受疫情影响，研究生无出国交流情况，应当进一步加强国际交流，扩大人才培养的国际视野。</w:t>
      </w:r>
    </w:p>
    <w:p>
      <w:pPr>
        <w:pStyle w:val="2"/>
        <w:spacing w:before="0" w:after="0" w:line="600" w:lineRule="exact"/>
        <w:ind w:firstLine="643" w:firstLineChars="200"/>
      </w:pPr>
      <w:bookmarkStart w:id="11" w:name="_Toc101526927"/>
      <w:r>
        <w:rPr>
          <w:rFonts w:hint="eastAsia"/>
        </w:rPr>
        <w:t>四、下一年度建设计划</w:t>
      </w:r>
      <w:bookmarkEnd w:id="11"/>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1.加大研究生培养过程监督与引导，推进培养质量提升，打造高水平教学科研团队，提升学位点社会影响力。</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 xml:space="preserve">2.加强科技创新平台建设，建设高水平国际联合实验室，力争在国家或国家部委级研究平台取得新的突破。 </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3.增强优秀研究生培育项目资助力度，鼓励和支持研究生开拓创新，产出更多高水平成果。</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4.进一步凝练科学问题，整合人才资源，开展协同创新，力争在高水平研究项目、代表性科研成果和重大社会服务方面取得新的突破。</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5.在疫情影响下，积极拓展线上学术交流，加强对外合作，引进国外先进研究生在线课程，提高研究生培养过程中学术交流和国际合作水平。</w:t>
      </w:r>
    </w:p>
    <w:p>
      <w:pPr>
        <w:pBdr>
          <w:top w:val="none" w:color="auto" w:sz="0" w:space="1"/>
          <w:left w:val="none" w:color="auto" w:sz="0" w:space="4"/>
          <w:bottom w:val="none" w:color="auto" w:sz="0" w:space="1"/>
          <w:right w:val="none" w:color="auto" w:sz="0" w:space="4"/>
        </w:pBdr>
        <w:spacing w:line="600" w:lineRule="exact"/>
        <w:ind w:firstLine="629"/>
        <w:rPr>
          <w:rFonts w:ascii="仿宋_GB2312" w:hAnsi="宋体" w:eastAsia="仿宋_GB2312" w:cs="宋体"/>
          <w:sz w:val="32"/>
          <w:szCs w:val="32"/>
        </w:rPr>
      </w:pPr>
      <w:r>
        <w:rPr>
          <w:rFonts w:hint="eastAsia" w:ascii="仿宋_GB2312" w:hAnsi="宋体" w:eastAsia="仿宋_GB2312" w:cs="宋体"/>
          <w:sz w:val="32"/>
          <w:szCs w:val="32"/>
        </w:rPr>
        <w:t>6.以福建省新一轮双一流学科建设为契机，加大研究生教育教学改革力度，进一步完善教学质量监控体系，显著提升学位论文质量。</w:t>
      </w:r>
    </w:p>
    <w:p>
      <w:pPr>
        <w:pBdr>
          <w:top w:val="none" w:color="auto" w:sz="0" w:space="1"/>
          <w:left w:val="none" w:color="auto" w:sz="0" w:space="4"/>
          <w:bottom w:val="none" w:color="auto" w:sz="0" w:space="1"/>
          <w:right w:val="none" w:color="auto" w:sz="0" w:space="4"/>
        </w:pBdr>
        <w:spacing w:line="600" w:lineRule="exact"/>
        <w:ind w:firstLine="629"/>
        <w:rPr>
          <w:rFonts w:hint="eastAsia" w:ascii="仿宋_GB2312" w:hAnsi="宋体" w:eastAsia="仿宋_GB2312" w:cs="宋体"/>
          <w:sz w:val="32"/>
          <w:szCs w:val="32"/>
        </w:rPr>
      </w:pPr>
    </w:p>
    <w:sectPr>
      <w:footerReference r:id="rId5" w:type="default"/>
      <w:pgSz w:w="11906" w:h="16838"/>
      <w:pgMar w:top="1440" w:right="1134" w:bottom="1134"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16 -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1YjMzYTUxNzExNzdmNDhjYTZhOGIyODc4ZjhhYTcifQ=="/>
  </w:docVars>
  <w:rsids>
    <w:rsidRoot w:val="007753A1"/>
    <w:rsid w:val="000010CE"/>
    <w:rsid w:val="00003D4A"/>
    <w:rsid w:val="000251CE"/>
    <w:rsid w:val="00041ABD"/>
    <w:rsid w:val="00042AF1"/>
    <w:rsid w:val="000449B7"/>
    <w:rsid w:val="00050EC4"/>
    <w:rsid w:val="000526E8"/>
    <w:rsid w:val="000578DE"/>
    <w:rsid w:val="00066D42"/>
    <w:rsid w:val="000813B6"/>
    <w:rsid w:val="000918F8"/>
    <w:rsid w:val="000A2995"/>
    <w:rsid w:val="000B7188"/>
    <w:rsid w:val="000B79BC"/>
    <w:rsid w:val="000E55B7"/>
    <w:rsid w:val="00103051"/>
    <w:rsid w:val="00130513"/>
    <w:rsid w:val="00132201"/>
    <w:rsid w:val="001437F9"/>
    <w:rsid w:val="001446AE"/>
    <w:rsid w:val="00154D38"/>
    <w:rsid w:val="001926AB"/>
    <w:rsid w:val="001D7CC8"/>
    <w:rsid w:val="001E778A"/>
    <w:rsid w:val="001F035E"/>
    <w:rsid w:val="00201B74"/>
    <w:rsid w:val="00232902"/>
    <w:rsid w:val="0024547A"/>
    <w:rsid w:val="00247378"/>
    <w:rsid w:val="0025390E"/>
    <w:rsid w:val="00256D5A"/>
    <w:rsid w:val="00257A34"/>
    <w:rsid w:val="00265498"/>
    <w:rsid w:val="00272671"/>
    <w:rsid w:val="00273A5C"/>
    <w:rsid w:val="00274063"/>
    <w:rsid w:val="00285842"/>
    <w:rsid w:val="002978F8"/>
    <w:rsid w:val="002A559F"/>
    <w:rsid w:val="002C478A"/>
    <w:rsid w:val="002D1BA4"/>
    <w:rsid w:val="002D4C45"/>
    <w:rsid w:val="002F0B82"/>
    <w:rsid w:val="002F12E6"/>
    <w:rsid w:val="002F6553"/>
    <w:rsid w:val="0030592C"/>
    <w:rsid w:val="00307FFA"/>
    <w:rsid w:val="003221E8"/>
    <w:rsid w:val="00343234"/>
    <w:rsid w:val="00343278"/>
    <w:rsid w:val="00354BFC"/>
    <w:rsid w:val="003626B7"/>
    <w:rsid w:val="00397076"/>
    <w:rsid w:val="003C4B0C"/>
    <w:rsid w:val="003D0684"/>
    <w:rsid w:val="003F099E"/>
    <w:rsid w:val="003F379D"/>
    <w:rsid w:val="003F5A39"/>
    <w:rsid w:val="003F6D19"/>
    <w:rsid w:val="00447BA9"/>
    <w:rsid w:val="00457246"/>
    <w:rsid w:val="004640BF"/>
    <w:rsid w:val="0047287F"/>
    <w:rsid w:val="00482066"/>
    <w:rsid w:val="00482614"/>
    <w:rsid w:val="0049153E"/>
    <w:rsid w:val="004A080D"/>
    <w:rsid w:val="004B35F3"/>
    <w:rsid w:val="004B37B8"/>
    <w:rsid w:val="004B7FB9"/>
    <w:rsid w:val="004D4A24"/>
    <w:rsid w:val="004E0CC7"/>
    <w:rsid w:val="004F03E8"/>
    <w:rsid w:val="004F1DCC"/>
    <w:rsid w:val="004F28B7"/>
    <w:rsid w:val="004F6994"/>
    <w:rsid w:val="00501F14"/>
    <w:rsid w:val="005105D3"/>
    <w:rsid w:val="005209B6"/>
    <w:rsid w:val="00520FB6"/>
    <w:rsid w:val="00521610"/>
    <w:rsid w:val="00521ECC"/>
    <w:rsid w:val="00535B71"/>
    <w:rsid w:val="00536EB6"/>
    <w:rsid w:val="00541200"/>
    <w:rsid w:val="00557C67"/>
    <w:rsid w:val="00561CE0"/>
    <w:rsid w:val="0056354D"/>
    <w:rsid w:val="00566B06"/>
    <w:rsid w:val="00573C56"/>
    <w:rsid w:val="005828BD"/>
    <w:rsid w:val="00587993"/>
    <w:rsid w:val="005B3EA8"/>
    <w:rsid w:val="005C3ECC"/>
    <w:rsid w:val="005D0287"/>
    <w:rsid w:val="006268EA"/>
    <w:rsid w:val="00633528"/>
    <w:rsid w:val="00654380"/>
    <w:rsid w:val="00673849"/>
    <w:rsid w:val="00676DB0"/>
    <w:rsid w:val="0068408E"/>
    <w:rsid w:val="0069591B"/>
    <w:rsid w:val="0069612D"/>
    <w:rsid w:val="006975DC"/>
    <w:rsid w:val="006A1F41"/>
    <w:rsid w:val="006A7EED"/>
    <w:rsid w:val="006B675A"/>
    <w:rsid w:val="006C1BD8"/>
    <w:rsid w:val="006C5199"/>
    <w:rsid w:val="006E440B"/>
    <w:rsid w:val="006F1F2B"/>
    <w:rsid w:val="006F2947"/>
    <w:rsid w:val="006F773E"/>
    <w:rsid w:val="00705B94"/>
    <w:rsid w:val="007065E2"/>
    <w:rsid w:val="0070779C"/>
    <w:rsid w:val="00715D35"/>
    <w:rsid w:val="007272F6"/>
    <w:rsid w:val="00771166"/>
    <w:rsid w:val="00774B62"/>
    <w:rsid w:val="007753A1"/>
    <w:rsid w:val="007A0B3D"/>
    <w:rsid w:val="007A2585"/>
    <w:rsid w:val="007A62C1"/>
    <w:rsid w:val="007C2900"/>
    <w:rsid w:val="007C4423"/>
    <w:rsid w:val="007C4576"/>
    <w:rsid w:val="007D1886"/>
    <w:rsid w:val="007D425F"/>
    <w:rsid w:val="007E4E48"/>
    <w:rsid w:val="007F5B35"/>
    <w:rsid w:val="007F6DEA"/>
    <w:rsid w:val="00804E31"/>
    <w:rsid w:val="00813359"/>
    <w:rsid w:val="008150B9"/>
    <w:rsid w:val="00816166"/>
    <w:rsid w:val="00825FF3"/>
    <w:rsid w:val="00831015"/>
    <w:rsid w:val="00836E91"/>
    <w:rsid w:val="00865ECE"/>
    <w:rsid w:val="00892B80"/>
    <w:rsid w:val="00897DF3"/>
    <w:rsid w:val="008A2DBB"/>
    <w:rsid w:val="008D0BEB"/>
    <w:rsid w:val="008D7194"/>
    <w:rsid w:val="008E47F8"/>
    <w:rsid w:val="008F5D2B"/>
    <w:rsid w:val="009013DB"/>
    <w:rsid w:val="00911751"/>
    <w:rsid w:val="0092074A"/>
    <w:rsid w:val="00927F32"/>
    <w:rsid w:val="00930B63"/>
    <w:rsid w:val="00934BC6"/>
    <w:rsid w:val="009438DC"/>
    <w:rsid w:val="00953C8B"/>
    <w:rsid w:val="00953E82"/>
    <w:rsid w:val="00971DF6"/>
    <w:rsid w:val="009738CA"/>
    <w:rsid w:val="00986BA6"/>
    <w:rsid w:val="009876B5"/>
    <w:rsid w:val="00993BE2"/>
    <w:rsid w:val="00996066"/>
    <w:rsid w:val="009A6B30"/>
    <w:rsid w:val="009B2142"/>
    <w:rsid w:val="009B7478"/>
    <w:rsid w:val="009C2465"/>
    <w:rsid w:val="009C72B5"/>
    <w:rsid w:val="009C7575"/>
    <w:rsid w:val="009D043E"/>
    <w:rsid w:val="009D7806"/>
    <w:rsid w:val="009E2BDE"/>
    <w:rsid w:val="009E7009"/>
    <w:rsid w:val="00A07E66"/>
    <w:rsid w:val="00A10998"/>
    <w:rsid w:val="00A131D9"/>
    <w:rsid w:val="00A22A31"/>
    <w:rsid w:val="00A261CE"/>
    <w:rsid w:val="00A3469C"/>
    <w:rsid w:val="00A376C6"/>
    <w:rsid w:val="00A415E3"/>
    <w:rsid w:val="00A57907"/>
    <w:rsid w:val="00A635DC"/>
    <w:rsid w:val="00A941F3"/>
    <w:rsid w:val="00A977C9"/>
    <w:rsid w:val="00AB7438"/>
    <w:rsid w:val="00AB7C27"/>
    <w:rsid w:val="00AC5602"/>
    <w:rsid w:val="00AD3507"/>
    <w:rsid w:val="00AD3917"/>
    <w:rsid w:val="00AF5B3B"/>
    <w:rsid w:val="00B25DA1"/>
    <w:rsid w:val="00B34CEA"/>
    <w:rsid w:val="00B5359C"/>
    <w:rsid w:val="00B64BB3"/>
    <w:rsid w:val="00B74CB6"/>
    <w:rsid w:val="00B76917"/>
    <w:rsid w:val="00B83061"/>
    <w:rsid w:val="00B84B51"/>
    <w:rsid w:val="00B916C4"/>
    <w:rsid w:val="00BA52E6"/>
    <w:rsid w:val="00BB4F57"/>
    <w:rsid w:val="00BC296A"/>
    <w:rsid w:val="00BE43A5"/>
    <w:rsid w:val="00C046A1"/>
    <w:rsid w:val="00C17581"/>
    <w:rsid w:val="00C44539"/>
    <w:rsid w:val="00C46A1E"/>
    <w:rsid w:val="00C55608"/>
    <w:rsid w:val="00C574BD"/>
    <w:rsid w:val="00C65DB9"/>
    <w:rsid w:val="00C8519B"/>
    <w:rsid w:val="00CB4E91"/>
    <w:rsid w:val="00CC2FAC"/>
    <w:rsid w:val="00CF53FF"/>
    <w:rsid w:val="00D01D45"/>
    <w:rsid w:val="00D039BE"/>
    <w:rsid w:val="00D10750"/>
    <w:rsid w:val="00D2231A"/>
    <w:rsid w:val="00D31A75"/>
    <w:rsid w:val="00D41C21"/>
    <w:rsid w:val="00D42983"/>
    <w:rsid w:val="00D642DD"/>
    <w:rsid w:val="00D6642D"/>
    <w:rsid w:val="00D702B9"/>
    <w:rsid w:val="00D81CAD"/>
    <w:rsid w:val="00D92475"/>
    <w:rsid w:val="00DA44DF"/>
    <w:rsid w:val="00DA6F2C"/>
    <w:rsid w:val="00DB064F"/>
    <w:rsid w:val="00DC4308"/>
    <w:rsid w:val="00DF0150"/>
    <w:rsid w:val="00DF0919"/>
    <w:rsid w:val="00DF0FA4"/>
    <w:rsid w:val="00DF2681"/>
    <w:rsid w:val="00DF41EF"/>
    <w:rsid w:val="00DF7A5A"/>
    <w:rsid w:val="00E14DB7"/>
    <w:rsid w:val="00E234BB"/>
    <w:rsid w:val="00E25000"/>
    <w:rsid w:val="00E4320B"/>
    <w:rsid w:val="00E51464"/>
    <w:rsid w:val="00E53DC2"/>
    <w:rsid w:val="00E60BAE"/>
    <w:rsid w:val="00E6211B"/>
    <w:rsid w:val="00E829F9"/>
    <w:rsid w:val="00E90ABA"/>
    <w:rsid w:val="00E92C4D"/>
    <w:rsid w:val="00EA4CA2"/>
    <w:rsid w:val="00EA6B18"/>
    <w:rsid w:val="00EB15D2"/>
    <w:rsid w:val="00EC1F6A"/>
    <w:rsid w:val="00EC614C"/>
    <w:rsid w:val="00ED58C2"/>
    <w:rsid w:val="00EE1EC7"/>
    <w:rsid w:val="00EF024C"/>
    <w:rsid w:val="00F00C2D"/>
    <w:rsid w:val="00F133AA"/>
    <w:rsid w:val="00F135C1"/>
    <w:rsid w:val="00F2060E"/>
    <w:rsid w:val="00F240C3"/>
    <w:rsid w:val="00F319B3"/>
    <w:rsid w:val="00F34E14"/>
    <w:rsid w:val="00F355B2"/>
    <w:rsid w:val="00F54EB5"/>
    <w:rsid w:val="00F61711"/>
    <w:rsid w:val="00F61BFD"/>
    <w:rsid w:val="00F64916"/>
    <w:rsid w:val="00F71243"/>
    <w:rsid w:val="00F72FF6"/>
    <w:rsid w:val="00F7461A"/>
    <w:rsid w:val="00F949AA"/>
    <w:rsid w:val="00F957DA"/>
    <w:rsid w:val="00FA0239"/>
    <w:rsid w:val="00FA06C6"/>
    <w:rsid w:val="00FA4DB7"/>
    <w:rsid w:val="00FA5965"/>
    <w:rsid w:val="00FC4EC7"/>
    <w:rsid w:val="00FC63D1"/>
    <w:rsid w:val="00FD0099"/>
    <w:rsid w:val="00FF14AC"/>
    <w:rsid w:val="00FF1D84"/>
    <w:rsid w:val="00FF2B54"/>
    <w:rsid w:val="00FF32BB"/>
    <w:rsid w:val="02322A46"/>
    <w:rsid w:val="04DD5D12"/>
    <w:rsid w:val="0FEE2544"/>
    <w:rsid w:val="191F3932"/>
    <w:rsid w:val="33BA709B"/>
    <w:rsid w:val="3F5050F8"/>
    <w:rsid w:val="502150D5"/>
    <w:rsid w:val="5B51543D"/>
    <w:rsid w:val="632276B9"/>
    <w:rsid w:val="69C9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9"/>
    <w:qFormat/>
    <w:uiPriority w:val="9"/>
    <w:pPr>
      <w:keepNext/>
      <w:keepLines/>
      <w:spacing w:line="600" w:lineRule="exact"/>
      <w:ind w:firstLine="200" w:firstLineChars="200"/>
      <w:outlineLvl w:val="1"/>
    </w:pPr>
    <w:rPr>
      <w:rFonts w:ascii="Cambria" w:hAnsi="Cambria" w:eastAsia="楷体"/>
      <w:b/>
      <w:bCs/>
      <w:kern w:val="0"/>
      <w:sz w:val="32"/>
      <w:szCs w:val="32"/>
    </w:rPr>
  </w:style>
  <w:style w:type="paragraph" w:styleId="4">
    <w:name w:val="heading 3"/>
    <w:basedOn w:val="1"/>
    <w:next w:val="1"/>
    <w:link w:val="14"/>
    <w:qFormat/>
    <w:uiPriority w:val="0"/>
    <w:pPr>
      <w:keepNext/>
      <w:keepLines/>
      <w:widowControl/>
      <w:spacing w:beforeLines="20" w:afterLines="20"/>
      <w:jc w:val="left"/>
      <w:outlineLvl w:val="2"/>
    </w:pPr>
    <w:rPr>
      <w:rFonts w:ascii="宋体" w:hAnsi="宋体" w:eastAsia="方正仿宋简体" w:cs="宋体"/>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600" w:lineRule="exact"/>
      <w:jc w:val="center"/>
    </w:pPr>
    <w:rPr>
      <w:rFonts w:ascii="宋体" w:hAnsi="宋体"/>
      <w:b/>
      <w:bCs/>
      <w:sz w:val="36"/>
      <w:szCs w:val="36"/>
      <w:lang w:val="zh-CN"/>
    </w:rPr>
  </w:style>
  <w:style w:type="paragraph" w:styleId="10">
    <w:name w:val="toc 2"/>
    <w:basedOn w:val="1"/>
    <w:next w:val="1"/>
    <w:unhideWhenUsed/>
    <w:qFormat/>
    <w:uiPriority w:val="39"/>
    <w:pPr>
      <w:ind w:left="420" w:leftChars="200"/>
    </w:pPr>
  </w:style>
  <w:style w:type="character" w:styleId="13">
    <w:name w:val="Hyperlink"/>
    <w:unhideWhenUsed/>
    <w:qFormat/>
    <w:uiPriority w:val="99"/>
    <w:rPr>
      <w:color w:val="0000FF"/>
      <w:u w:val="single"/>
    </w:rPr>
  </w:style>
  <w:style w:type="character" w:customStyle="1" w:styleId="14">
    <w:name w:val="标题 3 字符"/>
    <w:link w:val="4"/>
    <w:qFormat/>
    <w:uiPriority w:val="0"/>
    <w:rPr>
      <w:rFonts w:ascii="宋体" w:hAnsi="宋体" w:eastAsia="方正仿宋简体" w:cs="宋体"/>
      <w:bCs/>
      <w:sz w:val="32"/>
      <w:szCs w:val="32"/>
    </w:rPr>
  </w:style>
  <w:style w:type="character" w:customStyle="1" w:styleId="15">
    <w:name w:val="页眉 Char"/>
    <w:link w:val="8"/>
    <w:qFormat/>
    <w:uiPriority w:val="99"/>
    <w:rPr>
      <w:kern w:val="2"/>
      <w:sz w:val="18"/>
      <w:szCs w:val="18"/>
    </w:rPr>
  </w:style>
  <w:style w:type="character" w:customStyle="1" w:styleId="16">
    <w:name w:val="页脚 Char"/>
    <w:link w:val="7"/>
    <w:qFormat/>
    <w:uiPriority w:val="99"/>
    <w:rPr>
      <w:kern w:val="2"/>
      <w:sz w:val="18"/>
      <w:szCs w:val="18"/>
    </w:rPr>
  </w:style>
  <w:style w:type="character" w:customStyle="1" w:styleId="17">
    <w:name w:val="页脚 字符"/>
    <w:qFormat/>
    <w:uiPriority w:val="99"/>
    <w:rPr>
      <w:kern w:val="2"/>
      <w:sz w:val="18"/>
      <w:szCs w:val="18"/>
    </w:rPr>
  </w:style>
  <w:style w:type="character" w:customStyle="1" w:styleId="18">
    <w:name w:val="标题 1 Char"/>
    <w:link w:val="2"/>
    <w:qFormat/>
    <w:uiPriority w:val="9"/>
    <w:rPr>
      <w:rFonts w:eastAsia="黑体"/>
      <w:b/>
      <w:bCs/>
      <w:kern w:val="44"/>
      <w:sz w:val="32"/>
      <w:szCs w:val="44"/>
    </w:rPr>
  </w:style>
  <w:style w:type="character" w:customStyle="1" w:styleId="19">
    <w:name w:val="标题 2 Char"/>
    <w:link w:val="3"/>
    <w:qFormat/>
    <w:uiPriority w:val="9"/>
    <w:rPr>
      <w:rFonts w:ascii="Cambria" w:hAnsi="Cambria" w:eastAsia="楷体"/>
      <w:b/>
      <w:bCs/>
      <w:sz w:val="32"/>
      <w:szCs w:val="32"/>
    </w:rPr>
  </w:style>
  <w:style w:type="paragraph" w:customStyle="1" w:styleId="20">
    <w:name w:val="TOC Heading"/>
    <w:basedOn w:val="2"/>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21">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865F-76D9-4AE0-ACB4-D71D5CF933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8598</Words>
  <Characters>9097</Characters>
  <Lines>69</Lines>
  <Paragraphs>19</Paragraphs>
  <TotalTime>36</TotalTime>
  <ScaleCrop>false</ScaleCrop>
  <LinksUpToDate>false</LinksUpToDate>
  <CharactersWithSpaces>9199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2022-04-23T14:11:00Z</dcterms:created>
  <dc:creator>刘丹玲</dc:creator>
  <cp:lastModifiedBy>共我放心探戈</cp:lastModifiedBy>
  <cp:lastPrinted>2022-05-03T02:14:00Z</cp:lastPrinted>
  <dcterms:modified xsi:type="dcterms:W3CDTF">2022-09-05T03:00:27Z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1B4E8A75F22E42B49A9E534A9C0304C3</vt:lpwstr>
  </property>
</Properties>
</file>