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atLeast"/>
        <w:jc w:val="center"/>
        <w:rPr>
          <w:rFonts w:ascii="方正小标宋_GBK" w:hAnsi="仿宋" w:eastAsia="方正小标宋_GBK"/>
          <w:sz w:val="44"/>
          <w:szCs w:val="44"/>
        </w:rPr>
      </w:pPr>
      <w:r>
        <w:rPr>
          <w:rFonts w:hint="eastAsia" w:ascii="方正小标宋_GBK" w:hAnsi="仿宋" w:eastAsia="方正小标宋_GBK"/>
          <w:sz w:val="44"/>
          <w:szCs w:val="44"/>
        </w:rPr>
        <w:t>学位授权点建设2</w:t>
      </w:r>
      <w:r>
        <w:rPr>
          <w:rFonts w:ascii="方正小标宋_GBK" w:hAnsi="仿宋" w:eastAsia="方正小标宋_GBK"/>
          <w:sz w:val="44"/>
          <w:szCs w:val="44"/>
        </w:rPr>
        <w:t>020</w:t>
      </w:r>
      <w:r>
        <w:rPr>
          <w:rFonts w:hint="eastAsia" w:ascii="方正小标宋_GBK" w:hAnsi="仿宋" w:eastAsia="方正小标宋_GBK"/>
          <w:sz w:val="44"/>
          <w:szCs w:val="44"/>
        </w:rPr>
        <w:t>年度报告</w:t>
      </w:r>
    </w:p>
    <w:p>
      <w:pPr>
        <w:spacing w:line="500" w:lineRule="atLeast"/>
      </w:pPr>
    </w:p>
    <w:p>
      <w:pPr>
        <w:pStyle w:val="2"/>
        <w:spacing w:before="0" w:after="0" w:line="500" w:lineRule="atLeast"/>
        <w:rPr>
          <w:rFonts w:ascii="黑体" w:hAnsi="黑体" w:eastAsia="黑体" w:cs="黑体"/>
          <w:b w:val="0"/>
          <w:bCs w:val="0"/>
        </w:rPr>
      </w:pPr>
      <w:r>
        <w:rPr>
          <w:rFonts w:hint="eastAsia" w:ascii="黑体" w:hAnsi="黑体" w:eastAsia="黑体" w:cs="黑体"/>
          <w:b w:val="0"/>
          <w:bCs w:val="0"/>
        </w:rPr>
        <w:t>一、学位点基本情况</w:t>
      </w:r>
      <w:bookmarkStart w:id="0" w:name="OLE_LINK20"/>
      <w:bookmarkStart w:id="1" w:name="OLE_LINK19"/>
    </w:p>
    <w:p>
      <w:pPr>
        <w:spacing w:line="500" w:lineRule="atLeast"/>
        <w:ind w:firstLine="480" w:firstLineChars="200"/>
        <w:rPr>
          <w:rFonts w:ascii="宋体" w:hAnsi="宋体" w:eastAsia="宋体"/>
          <w:bCs/>
          <w:sz w:val="24"/>
        </w:rPr>
      </w:pPr>
      <w:r>
        <w:rPr>
          <w:rFonts w:ascii="宋体" w:hAnsi="宋体" w:eastAsia="宋体"/>
          <w:bCs/>
          <w:sz w:val="24"/>
        </w:rPr>
        <w:t>福建农林大学最早源于1936年创办的福建协和大学和福建省立农学院，距今已有81年历史。本学位点学科源自</w:t>
      </w:r>
      <w:r>
        <w:rPr>
          <w:rFonts w:hint="eastAsia" w:ascii="宋体" w:hAnsi="宋体" w:eastAsia="宋体"/>
          <w:bCs/>
          <w:sz w:val="24"/>
        </w:rPr>
        <w:t>于</w:t>
      </w:r>
      <w:r>
        <w:rPr>
          <w:rFonts w:ascii="宋体" w:hAnsi="宋体" w:eastAsia="宋体"/>
          <w:bCs/>
          <w:sz w:val="24"/>
        </w:rPr>
        <w:t>1936年创办的农业经济管理专业，1982年创办农村金融专业，1986年在农业经济硕士点下招收农村金融方向硕士研究生；2003年创办国际经济与贸易本科专业，2006年1月获批区域经济学硕士点，201</w:t>
      </w:r>
      <w:r>
        <w:rPr>
          <w:rFonts w:hint="eastAsia" w:ascii="宋体" w:hAnsi="宋体" w:eastAsia="宋体"/>
          <w:bCs/>
          <w:sz w:val="24"/>
        </w:rPr>
        <w:t>1</w:t>
      </w:r>
      <w:r>
        <w:rPr>
          <w:rFonts w:ascii="宋体" w:hAnsi="宋体" w:eastAsia="宋体"/>
          <w:bCs/>
          <w:sz w:val="24"/>
        </w:rPr>
        <w:t>年</w:t>
      </w:r>
      <w:r>
        <w:rPr>
          <w:rFonts w:hint="eastAsia" w:ascii="宋体" w:hAnsi="宋体" w:eastAsia="宋体"/>
          <w:bCs/>
          <w:sz w:val="24"/>
        </w:rPr>
        <w:t>3月</w:t>
      </w:r>
      <w:r>
        <w:rPr>
          <w:rFonts w:ascii="宋体" w:hAnsi="宋体" w:eastAsia="宋体"/>
          <w:bCs/>
          <w:sz w:val="24"/>
        </w:rPr>
        <w:t>获批应用经济学一级学科硕士点</w:t>
      </w:r>
      <w:r>
        <w:rPr>
          <w:rFonts w:hint="eastAsia" w:ascii="宋体" w:hAnsi="宋体" w:eastAsia="宋体"/>
          <w:bCs/>
          <w:sz w:val="24"/>
        </w:rPr>
        <w:t>。</w:t>
      </w:r>
      <w:r>
        <w:rPr>
          <w:rFonts w:ascii="宋体" w:hAnsi="宋体" w:eastAsia="宋体"/>
          <w:bCs/>
          <w:sz w:val="24"/>
        </w:rPr>
        <w:t>本学科</w:t>
      </w:r>
      <w:r>
        <w:rPr>
          <w:rFonts w:hint="eastAsia" w:ascii="宋体" w:hAnsi="宋体" w:eastAsia="宋体"/>
          <w:bCs/>
          <w:sz w:val="24"/>
        </w:rPr>
        <w:t>在2</w:t>
      </w:r>
      <w:r>
        <w:rPr>
          <w:rFonts w:ascii="宋体" w:hAnsi="宋体" w:eastAsia="宋体"/>
          <w:bCs/>
          <w:sz w:val="24"/>
        </w:rPr>
        <w:t>020年</w:t>
      </w:r>
      <w:r>
        <w:rPr>
          <w:rFonts w:hint="eastAsia" w:ascii="宋体" w:hAnsi="宋体" w:eastAsia="宋体"/>
          <w:bCs/>
          <w:sz w:val="24"/>
        </w:rPr>
        <w:t>软科202</w:t>
      </w:r>
      <w:r>
        <w:rPr>
          <w:rFonts w:ascii="宋体" w:hAnsi="宋体" w:eastAsia="宋体"/>
          <w:bCs/>
          <w:sz w:val="24"/>
        </w:rPr>
        <w:t>0</w:t>
      </w:r>
      <w:r>
        <w:rPr>
          <w:rFonts w:hint="eastAsia" w:ascii="宋体" w:hAnsi="宋体" w:eastAsia="宋体"/>
          <w:bCs/>
          <w:sz w:val="24"/>
        </w:rPr>
        <w:t>中国最好学科排名</w:t>
      </w:r>
      <w:r>
        <w:rPr>
          <w:rFonts w:ascii="宋体" w:hAnsi="宋体" w:eastAsia="宋体"/>
          <w:bCs/>
          <w:sz w:val="24"/>
        </w:rPr>
        <w:t>中位列71位（</w:t>
      </w:r>
      <w:r>
        <w:rPr>
          <w:rFonts w:hint="eastAsia" w:ascii="宋体" w:hAnsi="宋体" w:eastAsia="宋体"/>
          <w:bCs/>
          <w:sz w:val="24"/>
        </w:rPr>
        <w:t>前3</w:t>
      </w:r>
      <w:r>
        <w:rPr>
          <w:rFonts w:ascii="宋体" w:hAnsi="宋体" w:eastAsia="宋体"/>
          <w:bCs/>
          <w:sz w:val="24"/>
        </w:rPr>
        <w:t>0%</w:t>
      </w:r>
      <w:r>
        <w:rPr>
          <w:rFonts w:hint="eastAsia" w:ascii="宋体" w:hAnsi="宋体" w:eastAsia="宋体"/>
          <w:bCs/>
          <w:sz w:val="24"/>
        </w:rPr>
        <w:t>），福建省内排名第三</w:t>
      </w:r>
      <w:r>
        <w:rPr>
          <w:rFonts w:ascii="宋体" w:hAnsi="宋体" w:eastAsia="宋体" w:cs="Times"/>
        </w:rPr>
        <w:t>。</w:t>
      </w:r>
      <w:bookmarkEnd w:id="0"/>
      <w:bookmarkEnd w:id="1"/>
    </w:p>
    <w:p>
      <w:pPr>
        <w:spacing w:line="500" w:lineRule="atLeast"/>
        <w:ind w:firstLine="480" w:firstLineChars="200"/>
        <w:rPr>
          <w:rFonts w:ascii="宋体" w:hAnsi="宋体" w:eastAsia="宋体" w:cs="Times"/>
          <w:sz w:val="24"/>
        </w:rPr>
      </w:pPr>
      <w:r>
        <w:rPr>
          <w:rFonts w:ascii="宋体" w:hAnsi="宋体" w:eastAsia="宋体" w:cs="Times"/>
          <w:sz w:val="24"/>
        </w:rPr>
        <w:t>本学科点共有专任教师共35人，其中，具有正高级和副高级职称人数分别为6人和18人，占比</w:t>
      </w:r>
      <w:r>
        <w:rPr>
          <w:rFonts w:hint="eastAsia" w:ascii="宋体" w:hAnsi="宋体" w:eastAsia="宋体" w:cs="Times"/>
          <w:sz w:val="24"/>
        </w:rPr>
        <w:t>6</w:t>
      </w:r>
      <w:r>
        <w:rPr>
          <w:rFonts w:ascii="宋体" w:hAnsi="宋体" w:eastAsia="宋体" w:cs="Times"/>
          <w:sz w:val="24"/>
        </w:rPr>
        <w:t>8.7%；具有博士学位人数为24人，占比68.7%；具有导师资格人数为23人，占比65.7%；有“福建省高等学校新世纪优秀人才”3人、“福建省高校杰出青年科研人才”1人。本学科点设有教育部批准的部级创新平台：国别和区域研究中心——“南太平洋岛国研究中心”、福建省高校特色创新智库——福建普惠金融研究院</w:t>
      </w:r>
      <w:r>
        <w:rPr>
          <w:rFonts w:hint="eastAsia" w:ascii="宋体" w:hAnsi="宋体" w:eastAsia="宋体" w:cs="Times"/>
          <w:sz w:val="24"/>
        </w:rPr>
        <w:t>和海峡两岸乡村振兴研究院以及福建省</w:t>
      </w:r>
      <w:r>
        <w:rPr>
          <w:rFonts w:ascii="宋体" w:hAnsi="宋体" w:eastAsia="宋体"/>
          <w:sz w:val="24"/>
        </w:rPr>
        <w:t>校人文社会科学研究基地</w:t>
      </w:r>
      <w:r>
        <w:rPr>
          <w:rFonts w:hint="eastAsia" w:ascii="宋体" w:hAnsi="宋体" w:eastAsia="宋体"/>
          <w:sz w:val="24"/>
        </w:rPr>
        <w:t>——</w:t>
      </w:r>
      <w:r>
        <w:rPr>
          <w:rFonts w:ascii="宋体" w:hAnsi="宋体" w:eastAsia="宋体"/>
          <w:sz w:val="24"/>
        </w:rPr>
        <w:t>茶产业发展研究中心</w:t>
      </w:r>
      <w:r>
        <w:rPr>
          <w:rFonts w:hint="eastAsia" w:ascii="宋体" w:hAnsi="宋体" w:eastAsia="宋体"/>
          <w:sz w:val="24"/>
        </w:rPr>
        <w:t>、海峡两岸休闲农业发展研究中心</w:t>
      </w:r>
      <w:r>
        <w:rPr>
          <w:rFonts w:hint="eastAsia" w:ascii="宋体" w:hAnsi="宋体" w:eastAsia="宋体" w:cs="Times"/>
          <w:sz w:val="24"/>
        </w:rPr>
        <w:t>五</w:t>
      </w:r>
      <w:r>
        <w:rPr>
          <w:rFonts w:ascii="宋体" w:hAnsi="宋体" w:eastAsia="宋体" w:cs="Times"/>
          <w:sz w:val="24"/>
        </w:rPr>
        <w:t>大学科平台</w:t>
      </w:r>
      <w:r>
        <w:rPr>
          <w:rFonts w:hint="eastAsia" w:ascii="宋体" w:hAnsi="宋体" w:eastAsia="宋体" w:cs="Times"/>
          <w:sz w:val="24"/>
        </w:rPr>
        <w:t>，</w:t>
      </w:r>
      <w:r>
        <w:rPr>
          <w:rFonts w:ascii="宋体" w:hAnsi="宋体" w:eastAsia="宋体" w:cs="Times"/>
          <w:sz w:val="24"/>
        </w:rPr>
        <w:t>初步形成在两岸农业合作及农产品贸易、农村社会保障及农村小额信贷等方向研究具有一定特色应用经济学一级学科学位点</w:t>
      </w:r>
      <w:r>
        <w:rPr>
          <w:rFonts w:hint="eastAsia" w:ascii="宋体" w:hAnsi="宋体" w:eastAsia="宋体" w:cs="Times"/>
          <w:sz w:val="24"/>
        </w:rPr>
        <w:t>。服务于海丝核心区建设，成为两岸及部分重点“海上丝绸之路”国家与地区研究的重要智库；农村小微金融、数字农村普惠金融和“三农”保险与保障研究在全省处于领先地位；县域经济发展方向围绕乡村振兴战略实施和社区农业发展及乡村营造实践展开，多名老师被聘为乡村振兴方面的智库专家</w:t>
      </w:r>
      <w:r>
        <w:rPr>
          <w:rFonts w:ascii="宋体" w:hAnsi="宋体" w:eastAsia="宋体" w:cs="Times"/>
          <w:sz w:val="24"/>
        </w:rPr>
        <w:t>。</w:t>
      </w:r>
    </w:p>
    <w:p>
      <w:pPr>
        <w:spacing w:line="500" w:lineRule="atLeast"/>
        <w:rPr>
          <w:rFonts w:ascii="楷体" w:hAnsi="楷体" w:eastAsia="楷体" w:cs="楷体"/>
          <w:sz w:val="32"/>
          <w:szCs w:val="32"/>
        </w:rPr>
      </w:pPr>
      <w:r>
        <w:rPr>
          <w:rFonts w:hint="eastAsia" w:ascii="楷体" w:hAnsi="楷体" w:eastAsia="楷体" w:cs="楷体"/>
          <w:sz w:val="32"/>
          <w:szCs w:val="32"/>
        </w:rPr>
        <w:t>（一）目标与标准</w:t>
      </w:r>
    </w:p>
    <w:p>
      <w:pPr>
        <w:pStyle w:val="16"/>
        <w:spacing w:line="500" w:lineRule="atLeast"/>
        <w:ind w:firstLine="640"/>
        <w:rPr>
          <w:rFonts w:ascii="仿宋" w:hAnsi="仿宋" w:eastAsia="仿宋" w:cs="仿宋"/>
          <w:sz w:val="32"/>
          <w:szCs w:val="32"/>
        </w:rPr>
      </w:pPr>
      <w:r>
        <w:rPr>
          <w:rFonts w:hint="eastAsia" w:ascii="仿宋" w:hAnsi="仿宋" w:eastAsia="仿宋" w:cs="仿宋"/>
          <w:sz w:val="32"/>
          <w:szCs w:val="32"/>
        </w:rPr>
        <w:t>1．培养目标</w:t>
      </w:r>
    </w:p>
    <w:p>
      <w:pPr>
        <w:spacing w:line="500" w:lineRule="atLeast"/>
        <w:ind w:firstLine="480" w:firstLineChars="200"/>
        <w:rPr>
          <w:rFonts w:ascii="宋体" w:hAnsi="宋体" w:eastAsia="宋体"/>
          <w:bCs/>
          <w:sz w:val="24"/>
        </w:rPr>
      </w:pPr>
      <w:r>
        <w:rPr>
          <w:rFonts w:hint="eastAsia" w:ascii="宋体" w:hAnsi="宋体" w:eastAsia="宋体"/>
          <w:bCs/>
          <w:sz w:val="24"/>
        </w:rPr>
        <w:t>具有良好的微观经济学、宏观经济学和相关专业基础知识，对专业领域和行业发展基本状况、问题有比较深入了解，并能将经济理论与社会实际问题相结合，分析解决实际问题。具有较强的创新能力、实践能力和创业精神。掌握一门外国语，具有较熟练的阅读能力，一定的写、译能力和基本的听、说能力。</w:t>
      </w:r>
    </w:p>
    <w:p>
      <w:pPr>
        <w:pStyle w:val="16"/>
        <w:spacing w:line="500" w:lineRule="atLeast"/>
        <w:ind w:firstLine="640"/>
        <w:rPr>
          <w:rFonts w:ascii="仿宋" w:hAnsi="仿宋" w:eastAsia="仿宋" w:cs="仿宋"/>
          <w:sz w:val="32"/>
          <w:szCs w:val="32"/>
        </w:rPr>
      </w:pPr>
      <w:r>
        <w:rPr>
          <w:rFonts w:hint="eastAsia" w:ascii="仿宋" w:hAnsi="仿宋" w:eastAsia="仿宋" w:cs="仿宋"/>
          <w:sz w:val="32"/>
          <w:szCs w:val="32"/>
        </w:rPr>
        <w:t>2．学位标准</w:t>
      </w:r>
    </w:p>
    <w:p>
      <w:pPr>
        <w:spacing w:line="500" w:lineRule="atLeast"/>
        <w:ind w:firstLine="482" w:firstLineChars="200"/>
        <w:rPr>
          <w:rFonts w:ascii="宋体" w:hAnsi="宋体" w:eastAsia="宋体"/>
          <w:bCs/>
          <w:sz w:val="24"/>
        </w:rPr>
      </w:pPr>
      <w:r>
        <w:rPr>
          <w:rFonts w:hint="eastAsia" w:ascii="宋体" w:hAnsi="宋体" w:eastAsia="宋体"/>
          <w:b/>
          <w:sz w:val="24"/>
        </w:rPr>
        <w:t>（1）学分要求</w:t>
      </w:r>
      <w:r>
        <w:rPr>
          <w:rFonts w:hint="eastAsia" w:ascii="宋体" w:hAnsi="宋体" w:eastAsia="宋体"/>
          <w:bCs/>
          <w:sz w:val="24"/>
        </w:rPr>
        <w:t>：硕士研究生在三年的学习期间，国际贸易学专业应修读的课程总学分不低于</w:t>
      </w:r>
      <w:r>
        <w:rPr>
          <w:rFonts w:ascii="宋体" w:hAnsi="宋体" w:eastAsia="宋体"/>
          <w:bCs/>
          <w:sz w:val="24"/>
        </w:rPr>
        <w:t>32</w:t>
      </w:r>
      <w:r>
        <w:rPr>
          <w:rFonts w:hint="eastAsia" w:ascii="宋体" w:hAnsi="宋体" w:eastAsia="宋体"/>
          <w:bCs/>
          <w:sz w:val="24"/>
        </w:rPr>
        <w:t>学分。其中：学位课学分不低于</w:t>
      </w:r>
      <w:r>
        <w:rPr>
          <w:rFonts w:ascii="宋体" w:hAnsi="宋体" w:eastAsia="宋体"/>
          <w:bCs/>
          <w:sz w:val="24"/>
        </w:rPr>
        <w:t>16</w:t>
      </w:r>
      <w:r>
        <w:rPr>
          <w:rFonts w:hint="eastAsia" w:ascii="宋体" w:hAnsi="宋体" w:eastAsia="宋体"/>
          <w:bCs/>
          <w:sz w:val="24"/>
        </w:rPr>
        <w:t>学分，非学位课学分不低于</w:t>
      </w:r>
      <w:r>
        <w:rPr>
          <w:rFonts w:ascii="宋体" w:hAnsi="宋体" w:eastAsia="宋体"/>
          <w:bCs/>
          <w:sz w:val="24"/>
        </w:rPr>
        <w:t>16</w:t>
      </w:r>
      <w:r>
        <w:rPr>
          <w:rFonts w:hint="eastAsia" w:ascii="宋体" w:hAnsi="宋体" w:eastAsia="宋体"/>
          <w:bCs/>
          <w:sz w:val="24"/>
        </w:rPr>
        <w:t>学分。金融专业和区域经济学专业应修读的课程总学分不低于</w:t>
      </w:r>
      <w:r>
        <w:rPr>
          <w:rFonts w:ascii="宋体" w:hAnsi="宋体" w:eastAsia="宋体"/>
          <w:bCs/>
          <w:sz w:val="24"/>
        </w:rPr>
        <w:t>36</w:t>
      </w:r>
      <w:r>
        <w:rPr>
          <w:rFonts w:hint="eastAsia" w:ascii="宋体" w:hAnsi="宋体" w:eastAsia="宋体"/>
          <w:bCs/>
          <w:sz w:val="24"/>
        </w:rPr>
        <w:t>学分。其中：学位课学分不低于</w:t>
      </w:r>
      <w:r>
        <w:rPr>
          <w:rFonts w:ascii="宋体" w:hAnsi="宋体" w:eastAsia="宋体"/>
          <w:bCs/>
          <w:sz w:val="24"/>
        </w:rPr>
        <w:t>17</w:t>
      </w:r>
      <w:r>
        <w:rPr>
          <w:rFonts w:hint="eastAsia" w:ascii="宋体" w:hAnsi="宋体" w:eastAsia="宋体"/>
          <w:bCs/>
          <w:sz w:val="24"/>
        </w:rPr>
        <w:t>学分，非学位课学分不低于</w:t>
      </w:r>
      <w:r>
        <w:rPr>
          <w:rFonts w:ascii="宋体" w:hAnsi="宋体" w:eastAsia="宋体"/>
          <w:bCs/>
          <w:sz w:val="24"/>
        </w:rPr>
        <w:t>14</w:t>
      </w:r>
      <w:r>
        <w:rPr>
          <w:rFonts w:hint="eastAsia" w:ascii="宋体" w:hAnsi="宋体" w:eastAsia="宋体"/>
          <w:bCs/>
          <w:sz w:val="24"/>
        </w:rPr>
        <w:t>学分。同等学力或跨学科专业录取的硕士研究生，需补修不少于</w:t>
      </w:r>
      <w:r>
        <w:rPr>
          <w:rFonts w:ascii="宋体" w:hAnsi="宋体" w:eastAsia="宋体"/>
          <w:bCs/>
          <w:sz w:val="24"/>
        </w:rPr>
        <w:t>6</w:t>
      </w:r>
      <w:r>
        <w:rPr>
          <w:rFonts w:hint="eastAsia" w:ascii="宋体" w:hAnsi="宋体" w:eastAsia="宋体"/>
          <w:bCs/>
          <w:sz w:val="24"/>
        </w:rPr>
        <w:t>学分本学科的本科生主干课程。</w:t>
      </w:r>
    </w:p>
    <w:p>
      <w:pPr>
        <w:spacing w:line="500" w:lineRule="atLeast"/>
        <w:ind w:firstLine="482" w:firstLineChars="200"/>
        <w:rPr>
          <w:rFonts w:ascii="宋体" w:hAnsi="宋体" w:eastAsia="宋体"/>
          <w:bCs/>
          <w:sz w:val="24"/>
        </w:rPr>
      </w:pPr>
      <w:r>
        <w:rPr>
          <w:rFonts w:hint="eastAsia" w:ascii="宋体" w:hAnsi="宋体" w:eastAsia="宋体"/>
          <w:b/>
          <w:sz w:val="24"/>
        </w:rPr>
        <w:t>（2）外语水平</w:t>
      </w:r>
      <w:r>
        <w:rPr>
          <w:rFonts w:hint="eastAsia" w:ascii="宋体" w:hAnsi="宋体" w:eastAsia="宋体"/>
          <w:bCs/>
          <w:sz w:val="24"/>
        </w:rPr>
        <w:t>：全国大学生英语六级考试成绩达</w:t>
      </w:r>
      <w:r>
        <w:rPr>
          <w:rFonts w:ascii="宋体" w:hAnsi="宋体" w:eastAsia="宋体"/>
          <w:bCs/>
          <w:sz w:val="24"/>
        </w:rPr>
        <w:t>425</w:t>
      </w:r>
      <w:r>
        <w:rPr>
          <w:rFonts w:hint="eastAsia" w:ascii="宋体" w:hAnsi="宋体" w:eastAsia="宋体"/>
          <w:bCs/>
          <w:sz w:val="24"/>
        </w:rPr>
        <w:t>分及以上，或出国英语水平。</w:t>
      </w:r>
    </w:p>
    <w:p>
      <w:pPr>
        <w:spacing w:line="500" w:lineRule="atLeast"/>
        <w:ind w:firstLine="482" w:firstLineChars="200"/>
        <w:rPr>
          <w:rFonts w:ascii="宋体" w:hAnsi="宋体" w:eastAsia="宋体"/>
          <w:bCs/>
          <w:sz w:val="24"/>
        </w:rPr>
      </w:pPr>
      <w:r>
        <w:rPr>
          <w:rFonts w:hint="eastAsia" w:ascii="宋体" w:hAnsi="宋体" w:eastAsia="宋体"/>
          <w:b/>
          <w:sz w:val="24"/>
        </w:rPr>
        <w:t>（3）学术论文</w:t>
      </w:r>
      <w:r>
        <w:rPr>
          <w:rFonts w:hint="eastAsia" w:ascii="宋体" w:hAnsi="宋体" w:eastAsia="宋体"/>
          <w:bCs/>
          <w:sz w:val="24"/>
        </w:rPr>
        <w:t>：硕士生申请学位授予前，要求以第一作者身份（导师第一作者，学生第二作者可视为学生第一作者）在本科及以上大学学报或北大中文核心期刊上至少发表</w:t>
      </w:r>
      <w:r>
        <w:rPr>
          <w:rFonts w:ascii="宋体" w:hAnsi="宋体" w:eastAsia="宋体"/>
          <w:bCs/>
          <w:sz w:val="24"/>
        </w:rPr>
        <w:t>1</w:t>
      </w:r>
      <w:r>
        <w:rPr>
          <w:rFonts w:hint="eastAsia" w:ascii="宋体" w:hAnsi="宋体" w:eastAsia="宋体"/>
          <w:bCs/>
          <w:sz w:val="24"/>
        </w:rPr>
        <w:t>篇本学科领域的学术论文，且文章字数必须在</w:t>
      </w:r>
      <w:r>
        <w:rPr>
          <w:rFonts w:ascii="宋体" w:hAnsi="宋体" w:eastAsia="宋体"/>
          <w:bCs/>
          <w:sz w:val="24"/>
        </w:rPr>
        <w:t>3500</w:t>
      </w:r>
      <w:r>
        <w:rPr>
          <w:rFonts w:hint="eastAsia" w:ascii="宋体" w:hAnsi="宋体" w:eastAsia="宋体"/>
          <w:bCs/>
          <w:sz w:val="24"/>
        </w:rPr>
        <w:t>字以上。</w:t>
      </w:r>
    </w:p>
    <w:p>
      <w:pPr>
        <w:spacing w:line="500" w:lineRule="atLeast"/>
        <w:rPr>
          <w:rFonts w:ascii="楷体" w:hAnsi="楷体" w:eastAsia="楷体" w:cs="楷体"/>
          <w:sz w:val="32"/>
          <w:szCs w:val="32"/>
        </w:rPr>
      </w:pPr>
      <w:r>
        <w:rPr>
          <w:rFonts w:hint="eastAsia" w:ascii="楷体" w:hAnsi="楷体" w:eastAsia="楷体" w:cs="楷体"/>
          <w:sz w:val="32"/>
          <w:szCs w:val="32"/>
        </w:rPr>
        <w:t>（二）基本条件</w:t>
      </w:r>
    </w:p>
    <w:p>
      <w:pPr>
        <w:pStyle w:val="16"/>
        <w:spacing w:line="500" w:lineRule="atLeast"/>
        <w:ind w:firstLine="640"/>
        <w:rPr>
          <w:rFonts w:ascii="仿宋" w:hAnsi="仿宋" w:eastAsia="仿宋" w:cs="仿宋"/>
          <w:sz w:val="32"/>
          <w:szCs w:val="32"/>
        </w:rPr>
      </w:pPr>
      <w:r>
        <w:rPr>
          <w:rFonts w:hint="eastAsia" w:ascii="仿宋" w:hAnsi="仿宋" w:eastAsia="仿宋" w:cs="仿宋"/>
          <w:sz w:val="32"/>
          <w:szCs w:val="32"/>
        </w:rPr>
        <w:t>1.培养方向</w:t>
      </w:r>
    </w:p>
    <w:p>
      <w:pPr>
        <w:spacing w:line="500" w:lineRule="atLeast"/>
        <w:ind w:firstLine="480" w:firstLineChars="200"/>
        <w:rPr>
          <w:rFonts w:ascii="宋体" w:hAnsi="宋体" w:eastAsia="宋体"/>
          <w:bCs/>
          <w:sz w:val="24"/>
        </w:rPr>
      </w:pPr>
      <w:r>
        <w:rPr>
          <w:rFonts w:hint="eastAsia" w:ascii="宋体" w:hAnsi="宋体" w:eastAsia="宋体"/>
          <w:bCs/>
          <w:sz w:val="24"/>
        </w:rPr>
        <w:t>本学位点设有国际贸易学、金融学和区域经济学三个方向。其中：</w:t>
      </w:r>
    </w:p>
    <w:p>
      <w:pPr>
        <w:spacing w:line="500" w:lineRule="atLeast"/>
        <w:ind w:firstLine="482" w:firstLineChars="200"/>
        <w:rPr>
          <w:rFonts w:ascii="宋体" w:hAnsi="宋体" w:eastAsia="宋体"/>
          <w:bCs/>
          <w:sz w:val="24"/>
        </w:rPr>
      </w:pPr>
      <w:r>
        <w:rPr>
          <w:rFonts w:hint="eastAsia" w:ascii="宋体" w:hAnsi="宋体" w:eastAsia="宋体"/>
          <w:b/>
          <w:sz w:val="24"/>
        </w:rPr>
        <w:t>（1）国际贸易学专业</w:t>
      </w:r>
      <w:r>
        <w:rPr>
          <w:rFonts w:hint="eastAsia" w:ascii="宋体" w:hAnsi="宋体" w:eastAsia="宋体"/>
          <w:bCs/>
          <w:sz w:val="24"/>
        </w:rPr>
        <w:t>设有4个培养方向，分别为国际贸易理论与政策、农产品市场与贸易、国际直接投资与国际援助、区域经济一体化与多边贸易；</w:t>
      </w:r>
    </w:p>
    <w:p>
      <w:pPr>
        <w:spacing w:line="500" w:lineRule="atLeast"/>
        <w:ind w:firstLine="482" w:firstLineChars="200"/>
        <w:rPr>
          <w:rFonts w:ascii="宋体" w:hAnsi="宋体" w:eastAsia="宋体"/>
          <w:bCs/>
          <w:sz w:val="24"/>
        </w:rPr>
      </w:pPr>
      <w:r>
        <w:rPr>
          <w:rFonts w:hint="eastAsia" w:ascii="宋体" w:hAnsi="宋体" w:eastAsia="宋体"/>
          <w:b/>
          <w:sz w:val="24"/>
        </w:rPr>
        <w:t>（2）金融学专业</w:t>
      </w:r>
      <w:r>
        <w:rPr>
          <w:rFonts w:hint="eastAsia" w:ascii="宋体" w:hAnsi="宋体" w:eastAsia="宋体"/>
          <w:bCs/>
          <w:sz w:val="24"/>
        </w:rPr>
        <w:t>设有4个培养方向，分别为农村金融理论与政策、金融市场与投资、风险管理与保险、金融机构经营与管理；</w:t>
      </w:r>
    </w:p>
    <w:p>
      <w:pPr>
        <w:spacing w:line="500" w:lineRule="atLeast"/>
        <w:ind w:firstLine="482" w:firstLineChars="200"/>
        <w:rPr>
          <w:rFonts w:ascii="宋体" w:hAnsi="宋体" w:eastAsia="宋体"/>
          <w:bCs/>
          <w:sz w:val="24"/>
        </w:rPr>
      </w:pPr>
      <w:r>
        <w:rPr>
          <w:rFonts w:hint="eastAsia" w:ascii="宋体" w:hAnsi="宋体" w:eastAsia="宋体"/>
          <w:b/>
          <w:sz w:val="24"/>
        </w:rPr>
        <w:t>（3）区域经济学专业</w:t>
      </w:r>
      <w:r>
        <w:rPr>
          <w:rFonts w:hint="eastAsia" w:ascii="宋体" w:hAnsi="宋体" w:eastAsia="宋体"/>
          <w:bCs/>
          <w:sz w:val="24"/>
        </w:rPr>
        <w:t>设有4个培养方向，分别为区域经济理论与政策、区域分工与合作、区域发展与制度、闽台经济合作。</w:t>
      </w:r>
    </w:p>
    <w:p>
      <w:pPr>
        <w:pStyle w:val="16"/>
        <w:spacing w:line="500" w:lineRule="atLeast"/>
        <w:ind w:firstLine="640"/>
        <w:rPr>
          <w:rFonts w:ascii="仿宋" w:hAnsi="仿宋" w:eastAsia="仿宋" w:cs="仿宋"/>
          <w:sz w:val="32"/>
          <w:szCs w:val="32"/>
        </w:rPr>
      </w:pPr>
      <w:r>
        <w:rPr>
          <w:rFonts w:hint="eastAsia" w:ascii="仿宋" w:hAnsi="仿宋" w:eastAsia="仿宋" w:cs="仿宋"/>
          <w:sz w:val="32"/>
          <w:szCs w:val="32"/>
        </w:rPr>
        <w:t>2.师资队伍</w:t>
      </w:r>
    </w:p>
    <w:p>
      <w:pPr>
        <w:spacing w:line="500" w:lineRule="atLeast"/>
        <w:ind w:firstLine="480" w:firstLineChars="200"/>
        <w:rPr>
          <w:rFonts w:ascii="宋体" w:hAnsi="宋体" w:eastAsia="宋体"/>
          <w:bCs/>
          <w:sz w:val="24"/>
        </w:rPr>
      </w:pPr>
      <w:r>
        <w:rPr>
          <w:rFonts w:hint="eastAsia" w:ascii="宋体" w:hAnsi="宋体" w:eastAsia="宋体"/>
          <w:bCs/>
          <w:sz w:val="24"/>
        </w:rPr>
        <w:t>本学科点专任教师共3</w:t>
      </w:r>
      <w:r>
        <w:rPr>
          <w:rFonts w:ascii="宋体" w:hAnsi="宋体" w:eastAsia="宋体"/>
          <w:bCs/>
          <w:sz w:val="24"/>
        </w:rPr>
        <w:t>5</w:t>
      </w:r>
      <w:r>
        <w:rPr>
          <w:rFonts w:hint="eastAsia" w:ascii="宋体" w:hAnsi="宋体" w:eastAsia="宋体"/>
          <w:bCs/>
          <w:sz w:val="24"/>
        </w:rPr>
        <w:t>人，其中，具有正高级和副高级职称人数分别为6人和1</w:t>
      </w:r>
      <w:r>
        <w:rPr>
          <w:rFonts w:ascii="宋体" w:hAnsi="宋体" w:eastAsia="宋体"/>
          <w:bCs/>
          <w:sz w:val="24"/>
        </w:rPr>
        <w:t>8</w:t>
      </w:r>
      <w:r>
        <w:rPr>
          <w:rFonts w:hint="eastAsia" w:ascii="宋体" w:hAnsi="宋体" w:eastAsia="宋体"/>
          <w:bCs/>
          <w:sz w:val="24"/>
        </w:rPr>
        <w:t>人，占6</w:t>
      </w:r>
      <w:r>
        <w:rPr>
          <w:rFonts w:ascii="宋体" w:hAnsi="宋体" w:eastAsia="宋体"/>
          <w:bCs/>
          <w:sz w:val="24"/>
        </w:rPr>
        <w:t>8.6%</w:t>
      </w:r>
      <w:r>
        <w:rPr>
          <w:rFonts w:hint="eastAsia" w:ascii="宋体" w:hAnsi="宋体" w:eastAsia="宋体"/>
          <w:bCs/>
          <w:sz w:val="24"/>
        </w:rPr>
        <w:t>；具有博士学位人数为2</w:t>
      </w:r>
      <w:r>
        <w:rPr>
          <w:rFonts w:ascii="宋体" w:hAnsi="宋体" w:eastAsia="宋体"/>
          <w:bCs/>
          <w:sz w:val="24"/>
        </w:rPr>
        <w:t>4</w:t>
      </w:r>
      <w:r>
        <w:rPr>
          <w:rFonts w:hint="eastAsia" w:ascii="宋体" w:hAnsi="宋体" w:eastAsia="宋体"/>
          <w:bCs/>
          <w:sz w:val="24"/>
        </w:rPr>
        <w:t>人，占比6</w:t>
      </w:r>
      <w:r>
        <w:rPr>
          <w:rFonts w:ascii="宋体" w:hAnsi="宋体" w:eastAsia="宋体"/>
          <w:bCs/>
          <w:sz w:val="24"/>
        </w:rPr>
        <w:t>8.6</w:t>
      </w:r>
      <w:r>
        <w:rPr>
          <w:rFonts w:hint="eastAsia" w:ascii="宋体" w:hAnsi="宋体" w:eastAsia="宋体"/>
          <w:bCs/>
          <w:sz w:val="24"/>
        </w:rPr>
        <w:t>%；具有导师资格人数为2</w:t>
      </w:r>
      <w:r>
        <w:rPr>
          <w:rFonts w:ascii="宋体" w:hAnsi="宋体" w:eastAsia="宋体"/>
          <w:bCs/>
          <w:sz w:val="24"/>
        </w:rPr>
        <w:t>3</w:t>
      </w:r>
      <w:r>
        <w:rPr>
          <w:rFonts w:hint="eastAsia" w:ascii="宋体" w:hAnsi="宋体" w:eastAsia="宋体"/>
          <w:bCs/>
          <w:sz w:val="24"/>
        </w:rPr>
        <w:t>人，占比6</w:t>
      </w:r>
      <w:r>
        <w:rPr>
          <w:rFonts w:ascii="宋体" w:hAnsi="宋体" w:eastAsia="宋体"/>
          <w:bCs/>
          <w:sz w:val="24"/>
        </w:rPr>
        <w:t>5.7</w:t>
      </w:r>
      <w:r>
        <w:rPr>
          <w:rFonts w:hint="eastAsia" w:ascii="宋体" w:hAnsi="宋体" w:eastAsia="宋体"/>
          <w:bCs/>
          <w:sz w:val="24"/>
        </w:rPr>
        <w:t>%；具体如下：</w:t>
      </w:r>
    </w:p>
    <w:p>
      <w:pPr>
        <w:pStyle w:val="15"/>
        <w:snapToGrid w:val="0"/>
        <w:spacing w:line="500" w:lineRule="atLeast"/>
        <w:ind w:firstLine="482"/>
        <w:jc w:val="center"/>
        <w:rPr>
          <w:rFonts w:ascii="宋体" w:hAnsi="宋体" w:cs="Times"/>
          <w:b/>
          <w:bCs/>
          <w:sz w:val="24"/>
          <w:szCs w:val="24"/>
        </w:rPr>
      </w:pPr>
      <w:r>
        <w:rPr>
          <w:rFonts w:hint="eastAsia" w:ascii="宋体" w:hAnsi="宋体" w:cs="Times"/>
          <w:b/>
          <w:bCs/>
          <w:sz w:val="24"/>
          <w:szCs w:val="24"/>
        </w:rPr>
        <w:t>表1 师资队伍</w:t>
      </w:r>
    </w:p>
    <w:tbl>
      <w:tblPr>
        <w:tblStyle w:val="10"/>
        <w:tblW w:w="5000" w:type="pct"/>
        <w:tblInd w:w="0" w:type="dxa"/>
        <w:tblLayout w:type="autofit"/>
        <w:tblCellMar>
          <w:top w:w="0" w:type="dxa"/>
          <w:left w:w="0" w:type="dxa"/>
          <w:bottom w:w="0" w:type="dxa"/>
          <w:right w:w="0" w:type="dxa"/>
        </w:tblCellMar>
      </w:tblPr>
      <w:tblGrid>
        <w:gridCol w:w="695"/>
        <w:gridCol w:w="510"/>
        <w:gridCol w:w="625"/>
        <w:gridCol w:w="580"/>
        <w:gridCol w:w="580"/>
        <w:gridCol w:w="580"/>
        <w:gridCol w:w="627"/>
        <w:gridCol w:w="695"/>
        <w:gridCol w:w="697"/>
        <w:gridCol w:w="695"/>
        <w:gridCol w:w="1350"/>
        <w:gridCol w:w="696"/>
      </w:tblGrid>
      <w:tr>
        <w:tblPrEx>
          <w:tblCellMar>
            <w:top w:w="0" w:type="dxa"/>
            <w:left w:w="0" w:type="dxa"/>
            <w:bottom w:w="0" w:type="dxa"/>
            <w:right w:w="0" w:type="dxa"/>
          </w:tblCellMar>
        </w:tblPrEx>
        <w:trPr>
          <w:trHeight w:val="100" w:hRule="atLeast"/>
        </w:trPr>
        <w:tc>
          <w:tcPr>
            <w:tcW w:w="417" w:type="pct"/>
            <w:vMerge w:val="restart"/>
            <w:tcBorders>
              <w:top w:val="single" w:color="000000" w:sz="4" w:space="0"/>
              <w:left w:val="single" w:color="000000" w:sz="4" w:space="0"/>
              <w:right w:val="single" w:color="000000" w:sz="4" w:space="0"/>
            </w:tcBorders>
            <w:tcMar>
              <w:top w:w="10" w:type="dxa"/>
              <w:left w:w="10" w:type="dxa"/>
              <w:bottom w:w="0" w:type="dxa"/>
              <w:right w:w="10" w:type="dxa"/>
            </w:tcMar>
            <w:vAlign w:val="center"/>
          </w:tcPr>
          <w:p>
            <w:pPr>
              <w:spacing w:line="500" w:lineRule="atLeast"/>
              <w:jc w:val="center"/>
              <w:textAlignment w:val="center"/>
              <w:rPr>
                <w:rFonts w:ascii="宋体" w:hAnsi="宋体" w:eastAsia="宋体" w:cs="Times New Roman"/>
                <w:color w:val="000000"/>
                <w:szCs w:val="21"/>
              </w:rPr>
            </w:pPr>
            <w:r>
              <w:rPr>
                <w:rFonts w:ascii="宋体" w:hAnsi="宋体" w:eastAsia="宋体" w:cs="Times New Roman"/>
                <w:color w:val="000000"/>
                <w:szCs w:val="21"/>
              </w:rPr>
              <w:t>专业技术职务</w:t>
            </w:r>
          </w:p>
        </w:tc>
        <w:tc>
          <w:tcPr>
            <w:tcW w:w="306" w:type="pct"/>
            <w:vMerge w:val="restart"/>
            <w:tcBorders>
              <w:top w:val="single" w:color="000000" w:sz="4" w:space="0"/>
              <w:left w:val="nil"/>
              <w:right w:val="single" w:color="000000" w:sz="4" w:space="0"/>
            </w:tcBorders>
            <w:tcMar>
              <w:top w:w="10" w:type="dxa"/>
              <w:left w:w="10" w:type="dxa"/>
              <w:bottom w:w="0" w:type="dxa"/>
              <w:right w:w="10" w:type="dxa"/>
            </w:tcMar>
            <w:vAlign w:val="center"/>
          </w:tcPr>
          <w:p>
            <w:pPr>
              <w:spacing w:line="500" w:lineRule="atLeast"/>
              <w:jc w:val="center"/>
              <w:textAlignment w:val="center"/>
              <w:rPr>
                <w:rFonts w:ascii="宋体" w:hAnsi="宋体" w:eastAsia="宋体" w:cs="Times New Roman"/>
                <w:color w:val="000000"/>
                <w:szCs w:val="21"/>
              </w:rPr>
            </w:pPr>
            <w:r>
              <w:rPr>
                <w:rFonts w:ascii="宋体" w:hAnsi="宋体" w:eastAsia="宋体" w:cs="Times New Roman"/>
                <w:color w:val="000000"/>
                <w:szCs w:val="21"/>
              </w:rPr>
              <w:t>人数合计</w:t>
            </w:r>
          </w:p>
        </w:tc>
        <w:tc>
          <w:tcPr>
            <w:tcW w:w="1795" w:type="pct"/>
            <w:gridSpan w:val="5"/>
            <w:tcBorders>
              <w:top w:val="single" w:color="000000" w:sz="4" w:space="0"/>
              <w:left w:val="nil"/>
              <w:bottom w:val="single" w:color="000000" w:sz="4" w:space="0"/>
              <w:right w:val="single" w:color="000000" w:sz="4" w:space="0"/>
            </w:tcBorders>
            <w:tcMar>
              <w:top w:w="10" w:type="dxa"/>
              <w:left w:w="10" w:type="dxa"/>
              <w:bottom w:w="0" w:type="dxa"/>
              <w:right w:w="10" w:type="dxa"/>
            </w:tcMar>
            <w:vAlign w:val="center"/>
          </w:tcPr>
          <w:p>
            <w:pPr>
              <w:spacing w:line="500" w:lineRule="atLeast"/>
              <w:jc w:val="center"/>
              <w:textAlignment w:val="center"/>
              <w:rPr>
                <w:rFonts w:ascii="宋体" w:hAnsi="宋体" w:eastAsia="宋体" w:cs="Times New Roman"/>
                <w:color w:val="000000"/>
                <w:szCs w:val="21"/>
              </w:rPr>
            </w:pPr>
            <w:r>
              <w:rPr>
                <w:rFonts w:hint="eastAsia" w:ascii="宋体" w:hAnsi="宋体" w:eastAsia="宋体" w:cs="Times New Roman"/>
                <w:color w:val="000000"/>
                <w:szCs w:val="21"/>
              </w:rPr>
              <w:t>年龄分布</w:t>
            </w:r>
          </w:p>
        </w:tc>
        <w:tc>
          <w:tcPr>
            <w:tcW w:w="835" w:type="pct"/>
            <w:gridSpan w:val="2"/>
            <w:tcBorders>
              <w:top w:val="single" w:color="000000" w:sz="4" w:space="0"/>
              <w:left w:val="nil"/>
              <w:bottom w:val="single" w:color="000000" w:sz="4" w:space="0"/>
              <w:right w:val="single" w:color="000000" w:sz="4" w:space="0"/>
            </w:tcBorders>
            <w:tcMar>
              <w:top w:w="10" w:type="dxa"/>
              <w:left w:w="10" w:type="dxa"/>
              <w:bottom w:w="0" w:type="dxa"/>
              <w:right w:w="10" w:type="dxa"/>
            </w:tcMar>
            <w:vAlign w:val="center"/>
          </w:tcPr>
          <w:p>
            <w:pPr>
              <w:spacing w:line="500" w:lineRule="atLeast"/>
              <w:jc w:val="center"/>
              <w:textAlignment w:val="center"/>
              <w:rPr>
                <w:rFonts w:ascii="宋体" w:hAnsi="宋体" w:eastAsia="宋体" w:cs="Times New Roman"/>
                <w:color w:val="000000"/>
                <w:szCs w:val="21"/>
              </w:rPr>
            </w:pPr>
            <w:r>
              <w:rPr>
                <w:rFonts w:hint="eastAsia" w:ascii="宋体" w:hAnsi="宋体" w:eastAsia="宋体" w:cs="Times New Roman"/>
                <w:color w:val="000000"/>
                <w:szCs w:val="21"/>
              </w:rPr>
              <w:t>学历结构</w:t>
            </w:r>
          </w:p>
        </w:tc>
        <w:tc>
          <w:tcPr>
            <w:tcW w:w="417" w:type="pct"/>
            <w:vMerge w:val="restart"/>
            <w:tcBorders>
              <w:top w:val="single" w:color="000000" w:sz="4" w:space="0"/>
              <w:left w:val="nil"/>
              <w:right w:val="single" w:color="000000" w:sz="4" w:space="0"/>
            </w:tcBorders>
            <w:tcMar>
              <w:top w:w="10" w:type="dxa"/>
              <w:left w:w="10" w:type="dxa"/>
              <w:bottom w:w="0" w:type="dxa"/>
              <w:right w:w="10" w:type="dxa"/>
            </w:tcMar>
            <w:vAlign w:val="center"/>
          </w:tcPr>
          <w:p>
            <w:pPr>
              <w:spacing w:line="500" w:lineRule="atLeast"/>
              <w:jc w:val="center"/>
              <w:textAlignment w:val="center"/>
              <w:rPr>
                <w:rFonts w:ascii="宋体" w:hAnsi="宋体" w:eastAsia="宋体" w:cs="Times New Roman"/>
                <w:color w:val="000000"/>
                <w:szCs w:val="21"/>
              </w:rPr>
            </w:pPr>
            <w:r>
              <w:rPr>
                <w:rFonts w:hint="eastAsia" w:ascii="宋体" w:hAnsi="宋体" w:eastAsia="宋体" w:cs="Times New Roman"/>
                <w:color w:val="000000"/>
                <w:szCs w:val="21"/>
              </w:rPr>
              <w:t>硕士导师人数</w:t>
            </w:r>
          </w:p>
        </w:tc>
        <w:tc>
          <w:tcPr>
            <w:tcW w:w="809" w:type="pct"/>
            <w:vMerge w:val="restart"/>
            <w:tcBorders>
              <w:top w:val="single" w:color="000000" w:sz="4" w:space="0"/>
              <w:left w:val="nil"/>
              <w:right w:val="single" w:color="000000" w:sz="4" w:space="0"/>
            </w:tcBorders>
            <w:tcMar>
              <w:top w:w="10" w:type="dxa"/>
              <w:left w:w="10" w:type="dxa"/>
              <w:bottom w:w="0" w:type="dxa"/>
              <w:right w:w="10" w:type="dxa"/>
            </w:tcMar>
            <w:vAlign w:val="center"/>
          </w:tcPr>
          <w:p>
            <w:pPr>
              <w:spacing w:line="500" w:lineRule="atLeast"/>
              <w:jc w:val="center"/>
              <w:textAlignment w:val="center"/>
              <w:rPr>
                <w:rFonts w:ascii="宋体" w:hAnsi="宋体" w:eastAsia="宋体" w:cs="Times New Roman"/>
                <w:color w:val="000000"/>
                <w:szCs w:val="21"/>
              </w:rPr>
            </w:pPr>
            <w:r>
              <w:rPr>
                <w:rFonts w:hint="eastAsia" w:ascii="宋体" w:hAnsi="宋体" w:eastAsia="宋体" w:cs="Times New Roman"/>
                <w:color w:val="000000"/>
                <w:szCs w:val="21"/>
              </w:rPr>
              <w:t>最高学位非本单位授予的人数</w:t>
            </w:r>
          </w:p>
        </w:tc>
        <w:tc>
          <w:tcPr>
            <w:tcW w:w="417" w:type="pct"/>
            <w:vMerge w:val="restart"/>
            <w:tcBorders>
              <w:top w:val="single" w:color="000000" w:sz="4" w:space="0"/>
              <w:left w:val="nil"/>
              <w:right w:val="single" w:color="000000" w:sz="4" w:space="0"/>
            </w:tcBorders>
            <w:tcMar>
              <w:top w:w="10" w:type="dxa"/>
              <w:left w:w="10" w:type="dxa"/>
              <w:bottom w:w="0" w:type="dxa"/>
              <w:right w:w="10" w:type="dxa"/>
            </w:tcMar>
            <w:vAlign w:val="center"/>
          </w:tcPr>
          <w:p>
            <w:pPr>
              <w:spacing w:line="500" w:lineRule="atLeast"/>
              <w:jc w:val="center"/>
              <w:textAlignment w:val="center"/>
              <w:rPr>
                <w:rFonts w:ascii="宋体" w:hAnsi="宋体" w:eastAsia="宋体" w:cs="Times New Roman"/>
                <w:color w:val="000000"/>
                <w:szCs w:val="21"/>
              </w:rPr>
            </w:pPr>
            <w:r>
              <w:rPr>
                <w:rFonts w:hint="eastAsia" w:ascii="宋体" w:hAnsi="宋体" w:eastAsia="宋体" w:cs="Times New Roman"/>
                <w:color w:val="000000"/>
                <w:szCs w:val="21"/>
              </w:rPr>
              <w:t>兼职硕导人数</w:t>
            </w:r>
          </w:p>
        </w:tc>
      </w:tr>
      <w:tr>
        <w:tblPrEx>
          <w:tblCellMar>
            <w:top w:w="0" w:type="dxa"/>
            <w:left w:w="0" w:type="dxa"/>
            <w:bottom w:w="0" w:type="dxa"/>
            <w:right w:w="0" w:type="dxa"/>
          </w:tblCellMar>
        </w:tblPrEx>
        <w:trPr>
          <w:trHeight w:val="600" w:hRule="atLeast"/>
        </w:trPr>
        <w:tc>
          <w:tcPr>
            <w:tcW w:w="417" w:type="pct"/>
            <w:vMerge w:val="continue"/>
            <w:tcBorders>
              <w:left w:val="single" w:color="000000" w:sz="4" w:space="0"/>
              <w:bottom w:val="single" w:color="000000" w:sz="4" w:space="0"/>
              <w:right w:val="single" w:color="000000" w:sz="4" w:space="0"/>
            </w:tcBorders>
            <w:tcMar>
              <w:top w:w="10" w:type="dxa"/>
              <w:left w:w="10" w:type="dxa"/>
              <w:bottom w:w="0" w:type="dxa"/>
              <w:right w:w="10" w:type="dxa"/>
            </w:tcMar>
            <w:vAlign w:val="center"/>
          </w:tcPr>
          <w:p>
            <w:pPr>
              <w:spacing w:line="500" w:lineRule="atLeast"/>
              <w:jc w:val="center"/>
              <w:textAlignment w:val="center"/>
              <w:rPr>
                <w:rFonts w:ascii="宋体" w:hAnsi="宋体" w:eastAsia="宋体" w:cs="Times New Roman"/>
                <w:color w:val="000000"/>
                <w:szCs w:val="21"/>
              </w:rPr>
            </w:pPr>
          </w:p>
        </w:tc>
        <w:tc>
          <w:tcPr>
            <w:tcW w:w="306" w:type="pct"/>
            <w:vMerge w:val="continue"/>
            <w:tcBorders>
              <w:left w:val="nil"/>
              <w:bottom w:val="single" w:color="000000" w:sz="4" w:space="0"/>
              <w:right w:val="single" w:color="000000" w:sz="4" w:space="0"/>
            </w:tcBorders>
            <w:tcMar>
              <w:top w:w="10" w:type="dxa"/>
              <w:left w:w="10" w:type="dxa"/>
              <w:bottom w:w="0" w:type="dxa"/>
              <w:right w:w="10" w:type="dxa"/>
            </w:tcMar>
            <w:vAlign w:val="center"/>
          </w:tcPr>
          <w:p>
            <w:pPr>
              <w:spacing w:line="500" w:lineRule="atLeast"/>
              <w:jc w:val="center"/>
              <w:textAlignment w:val="center"/>
              <w:rPr>
                <w:rFonts w:ascii="宋体" w:hAnsi="宋体" w:eastAsia="宋体" w:cs="Times New Roman"/>
                <w:color w:val="000000"/>
                <w:szCs w:val="21"/>
              </w:rPr>
            </w:pPr>
          </w:p>
        </w:tc>
        <w:tc>
          <w:tcPr>
            <w:tcW w:w="375" w:type="pct"/>
            <w:tcBorders>
              <w:top w:val="single" w:color="000000" w:sz="4" w:space="0"/>
              <w:left w:val="nil"/>
              <w:bottom w:val="single" w:color="000000" w:sz="4" w:space="0"/>
              <w:right w:val="single" w:color="000000" w:sz="4" w:space="0"/>
            </w:tcBorders>
            <w:tcMar>
              <w:top w:w="10" w:type="dxa"/>
              <w:left w:w="10" w:type="dxa"/>
              <w:bottom w:w="0" w:type="dxa"/>
              <w:right w:w="10" w:type="dxa"/>
            </w:tcMar>
            <w:vAlign w:val="center"/>
          </w:tcPr>
          <w:p>
            <w:pPr>
              <w:spacing w:line="500" w:lineRule="atLeast"/>
              <w:jc w:val="center"/>
              <w:textAlignment w:val="center"/>
              <w:rPr>
                <w:rFonts w:ascii="宋体" w:hAnsi="宋体" w:eastAsia="宋体" w:cs="Times New Roman"/>
                <w:color w:val="000000"/>
                <w:szCs w:val="21"/>
              </w:rPr>
            </w:pPr>
            <w:r>
              <w:rPr>
                <w:rFonts w:ascii="宋体" w:hAnsi="宋体" w:eastAsia="宋体" w:cs="Times New Roman"/>
                <w:color w:val="000000"/>
                <w:szCs w:val="21"/>
              </w:rPr>
              <w:t>25岁及以下</w:t>
            </w:r>
          </w:p>
        </w:tc>
        <w:tc>
          <w:tcPr>
            <w:tcW w:w="348" w:type="pct"/>
            <w:tcBorders>
              <w:top w:val="single" w:color="000000" w:sz="4" w:space="0"/>
              <w:left w:val="nil"/>
              <w:bottom w:val="single" w:color="000000" w:sz="4" w:space="0"/>
              <w:right w:val="single" w:color="000000" w:sz="4" w:space="0"/>
            </w:tcBorders>
            <w:tcMar>
              <w:top w:w="10" w:type="dxa"/>
              <w:left w:w="10" w:type="dxa"/>
              <w:bottom w:w="0" w:type="dxa"/>
              <w:right w:w="10" w:type="dxa"/>
            </w:tcMar>
            <w:vAlign w:val="center"/>
          </w:tcPr>
          <w:p>
            <w:pPr>
              <w:spacing w:line="500" w:lineRule="atLeast"/>
              <w:jc w:val="center"/>
              <w:textAlignment w:val="center"/>
              <w:rPr>
                <w:rFonts w:ascii="宋体" w:hAnsi="宋体" w:eastAsia="宋体" w:cs="Times New Roman"/>
                <w:color w:val="000000"/>
                <w:szCs w:val="21"/>
              </w:rPr>
            </w:pPr>
            <w:r>
              <w:rPr>
                <w:rFonts w:ascii="宋体" w:hAnsi="宋体" w:eastAsia="宋体" w:cs="Times New Roman"/>
                <w:color w:val="000000"/>
                <w:szCs w:val="21"/>
              </w:rPr>
              <w:t>2</w:t>
            </w:r>
            <w:r>
              <w:rPr>
                <w:rFonts w:hint="eastAsia" w:ascii="宋体" w:hAnsi="宋体" w:eastAsia="宋体" w:cs="Times New Roman"/>
                <w:color w:val="000000"/>
                <w:szCs w:val="21"/>
              </w:rPr>
              <w:t>6</w:t>
            </w:r>
            <w:r>
              <w:rPr>
                <w:rFonts w:ascii="宋体" w:hAnsi="宋体" w:eastAsia="宋体" w:cs="Times New Roman"/>
                <w:color w:val="000000"/>
                <w:szCs w:val="21"/>
              </w:rPr>
              <w:t>至35岁</w:t>
            </w:r>
          </w:p>
        </w:tc>
        <w:tc>
          <w:tcPr>
            <w:tcW w:w="348" w:type="pct"/>
            <w:tcBorders>
              <w:top w:val="single" w:color="000000" w:sz="4" w:space="0"/>
              <w:left w:val="nil"/>
              <w:bottom w:val="single" w:color="000000" w:sz="4" w:space="0"/>
              <w:right w:val="single" w:color="000000" w:sz="4" w:space="0"/>
            </w:tcBorders>
            <w:tcMar>
              <w:top w:w="10" w:type="dxa"/>
              <w:left w:w="10" w:type="dxa"/>
              <w:bottom w:w="0" w:type="dxa"/>
              <w:right w:w="10" w:type="dxa"/>
            </w:tcMar>
            <w:vAlign w:val="center"/>
          </w:tcPr>
          <w:p>
            <w:pPr>
              <w:spacing w:line="500" w:lineRule="atLeast"/>
              <w:jc w:val="center"/>
              <w:textAlignment w:val="center"/>
              <w:rPr>
                <w:rFonts w:ascii="宋体" w:hAnsi="宋体" w:eastAsia="宋体" w:cs="Times New Roman"/>
                <w:color w:val="000000"/>
                <w:szCs w:val="21"/>
              </w:rPr>
            </w:pPr>
            <w:r>
              <w:rPr>
                <w:rFonts w:ascii="宋体" w:hAnsi="宋体" w:eastAsia="宋体" w:cs="Times New Roman"/>
                <w:color w:val="000000"/>
                <w:szCs w:val="21"/>
              </w:rPr>
              <w:t>36至45岁</w:t>
            </w:r>
          </w:p>
        </w:tc>
        <w:tc>
          <w:tcPr>
            <w:tcW w:w="348" w:type="pct"/>
            <w:tcBorders>
              <w:top w:val="single" w:color="000000" w:sz="4" w:space="0"/>
              <w:left w:val="nil"/>
              <w:bottom w:val="single" w:color="000000" w:sz="4" w:space="0"/>
              <w:right w:val="single" w:color="000000" w:sz="4" w:space="0"/>
            </w:tcBorders>
            <w:tcMar>
              <w:top w:w="10" w:type="dxa"/>
              <w:left w:w="10" w:type="dxa"/>
              <w:bottom w:w="0" w:type="dxa"/>
              <w:right w:w="10" w:type="dxa"/>
            </w:tcMar>
            <w:vAlign w:val="center"/>
          </w:tcPr>
          <w:p>
            <w:pPr>
              <w:spacing w:line="500" w:lineRule="atLeast"/>
              <w:jc w:val="center"/>
              <w:textAlignment w:val="center"/>
              <w:rPr>
                <w:rFonts w:ascii="宋体" w:hAnsi="宋体" w:eastAsia="宋体" w:cs="Times New Roman"/>
                <w:color w:val="000000"/>
                <w:szCs w:val="21"/>
              </w:rPr>
            </w:pPr>
            <w:r>
              <w:rPr>
                <w:rFonts w:ascii="宋体" w:hAnsi="宋体" w:eastAsia="宋体" w:cs="Times New Roman"/>
                <w:color w:val="000000"/>
                <w:szCs w:val="21"/>
              </w:rPr>
              <w:t>46至</w:t>
            </w:r>
            <w:r>
              <w:rPr>
                <w:rFonts w:hint="eastAsia" w:ascii="宋体" w:hAnsi="宋体" w:eastAsia="宋体" w:cs="Times New Roman"/>
                <w:color w:val="000000"/>
                <w:szCs w:val="21"/>
              </w:rPr>
              <w:t>59</w:t>
            </w:r>
            <w:r>
              <w:rPr>
                <w:rFonts w:ascii="宋体" w:hAnsi="宋体" w:eastAsia="宋体" w:cs="Times New Roman"/>
                <w:color w:val="000000"/>
                <w:szCs w:val="21"/>
              </w:rPr>
              <w:t>岁</w:t>
            </w:r>
          </w:p>
        </w:tc>
        <w:tc>
          <w:tcPr>
            <w:tcW w:w="375" w:type="pct"/>
            <w:tcBorders>
              <w:top w:val="single" w:color="000000" w:sz="4" w:space="0"/>
              <w:left w:val="nil"/>
              <w:bottom w:val="single" w:color="000000" w:sz="4" w:space="0"/>
              <w:right w:val="single" w:color="000000" w:sz="4" w:space="0"/>
            </w:tcBorders>
            <w:tcMar>
              <w:top w:w="10" w:type="dxa"/>
              <w:left w:w="10" w:type="dxa"/>
              <w:bottom w:w="0" w:type="dxa"/>
              <w:right w:w="10" w:type="dxa"/>
            </w:tcMar>
            <w:vAlign w:val="center"/>
          </w:tcPr>
          <w:p>
            <w:pPr>
              <w:spacing w:line="500" w:lineRule="atLeast"/>
              <w:jc w:val="center"/>
              <w:textAlignment w:val="center"/>
              <w:rPr>
                <w:rFonts w:ascii="宋体" w:hAnsi="宋体" w:eastAsia="宋体" w:cs="Times New Roman"/>
                <w:color w:val="000000"/>
                <w:szCs w:val="21"/>
              </w:rPr>
            </w:pPr>
            <w:r>
              <w:rPr>
                <w:rFonts w:ascii="宋体" w:hAnsi="宋体" w:eastAsia="宋体" w:cs="Times New Roman"/>
                <w:color w:val="000000"/>
                <w:szCs w:val="21"/>
              </w:rPr>
              <w:t>60岁及以上</w:t>
            </w:r>
          </w:p>
        </w:tc>
        <w:tc>
          <w:tcPr>
            <w:tcW w:w="417" w:type="pct"/>
            <w:tcBorders>
              <w:top w:val="single" w:color="000000" w:sz="4" w:space="0"/>
              <w:left w:val="nil"/>
              <w:bottom w:val="single" w:color="000000" w:sz="4" w:space="0"/>
              <w:right w:val="single" w:color="000000" w:sz="4" w:space="0"/>
            </w:tcBorders>
            <w:tcMar>
              <w:top w:w="10" w:type="dxa"/>
              <w:left w:w="10" w:type="dxa"/>
              <w:bottom w:w="0" w:type="dxa"/>
              <w:right w:w="10" w:type="dxa"/>
            </w:tcMar>
            <w:vAlign w:val="center"/>
          </w:tcPr>
          <w:p>
            <w:pPr>
              <w:spacing w:line="500" w:lineRule="atLeast"/>
              <w:jc w:val="center"/>
              <w:textAlignment w:val="center"/>
              <w:rPr>
                <w:rFonts w:ascii="宋体" w:hAnsi="宋体" w:eastAsia="宋体" w:cs="Times New Roman"/>
                <w:color w:val="000000"/>
                <w:szCs w:val="21"/>
              </w:rPr>
            </w:pPr>
            <w:r>
              <w:rPr>
                <w:rFonts w:ascii="宋体" w:hAnsi="宋体" w:eastAsia="宋体" w:cs="Times New Roman"/>
                <w:color w:val="000000"/>
                <w:szCs w:val="21"/>
              </w:rPr>
              <w:t>博士学位教师</w:t>
            </w:r>
          </w:p>
        </w:tc>
        <w:tc>
          <w:tcPr>
            <w:tcW w:w="417" w:type="pct"/>
            <w:tcBorders>
              <w:top w:val="single" w:color="000000" w:sz="4" w:space="0"/>
              <w:left w:val="nil"/>
              <w:bottom w:val="single" w:color="000000" w:sz="4" w:space="0"/>
              <w:right w:val="single" w:color="000000" w:sz="4" w:space="0"/>
            </w:tcBorders>
            <w:tcMar>
              <w:top w:w="10" w:type="dxa"/>
              <w:left w:w="10" w:type="dxa"/>
              <w:bottom w:w="0" w:type="dxa"/>
              <w:right w:w="10" w:type="dxa"/>
            </w:tcMar>
            <w:vAlign w:val="center"/>
          </w:tcPr>
          <w:p>
            <w:pPr>
              <w:spacing w:line="500" w:lineRule="atLeast"/>
              <w:jc w:val="center"/>
              <w:textAlignment w:val="center"/>
              <w:rPr>
                <w:rFonts w:ascii="宋体" w:hAnsi="宋体" w:eastAsia="宋体" w:cs="Times New Roman"/>
                <w:color w:val="000000"/>
                <w:szCs w:val="21"/>
              </w:rPr>
            </w:pPr>
            <w:r>
              <w:rPr>
                <w:rFonts w:ascii="宋体" w:hAnsi="宋体" w:eastAsia="宋体" w:cs="Times New Roman"/>
                <w:color w:val="000000"/>
                <w:szCs w:val="21"/>
              </w:rPr>
              <w:t>硕士学位教师</w:t>
            </w:r>
          </w:p>
        </w:tc>
        <w:tc>
          <w:tcPr>
            <w:tcW w:w="417" w:type="pct"/>
            <w:vMerge w:val="continue"/>
            <w:tcBorders>
              <w:left w:val="nil"/>
              <w:bottom w:val="single" w:color="000000" w:sz="4" w:space="0"/>
              <w:right w:val="single" w:color="000000" w:sz="4" w:space="0"/>
            </w:tcBorders>
            <w:tcMar>
              <w:top w:w="10" w:type="dxa"/>
              <w:left w:w="10" w:type="dxa"/>
              <w:bottom w:w="0" w:type="dxa"/>
              <w:right w:w="10" w:type="dxa"/>
            </w:tcMar>
            <w:vAlign w:val="center"/>
          </w:tcPr>
          <w:p>
            <w:pPr>
              <w:spacing w:line="500" w:lineRule="atLeast"/>
              <w:jc w:val="center"/>
              <w:textAlignment w:val="center"/>
              <w:rPr>
                <w:rFonts w:ascii="宋体" w:hAnsi="宋体" w:eastAsia="宋体" w:cs="Times New Roman"/>
                <w:color w:val="000000"/>
                <w:szCs w:val="21"/>
              </w:rPr>
            </w:pPr>
          </w:p>
        </w:tc>
        <w:tc>
          <w:tcPr>
            <w:tcW w:w="809" w:type="pct"/>
            <w:vMerge w:val="continue"/>
            <w:tcBorders>
              <w:left w:val="nil"/>
              <w:bottom w:val="single" w:color="000000" w:sz="4" w:space="0"/>
              <w:right w:val="single" w:color="000000" w:sz="4" w:space="0"/>
            </w:tcBorders>
            <w:tcMar>
              <w:top w:w="10" w:type="dxa"/>
              <w:left w:w="10" w:type="dxa"/>
              <w:bottom w:w="0" w:type="dxa"/>
              <w:right w:w="10" w:type="dxa"/>
            </w:tcMar>
            <w:vAlign w:val="center"/>
          </w:tcPr>
          <w:p>
            <w:pPr>
              <w:spacing w:line="500" w:lineRule="atLeast"/>
              <w:jc w:val="center"/>
              <w:textAlignment w:val="center"/>
              <w:rPr>
                <w:rFonts w:ascii="宋体" w:hAnsi="宋体" w:eastAsia="宋体" w:cs="Times New Roman"/>
                <w:color w:val="000000"/>
                <w:szCs w:val="21"/>
              </w:rPr>
            </w:pPr>
          </w:p>
        </w:tc>
        <w:tc>
          <w:tcPr>
            <w:tcW w:w="417" w:type="pct"/>
            <w:vMerge w:val="continue"/>
            <w:tcBorders>
              <w:left w:val="nil"/>
              <w:bottom w:val="single" w:color="000000" w:sz="4" w:space="0"/>
              <w:right w:val="single" w:color="000000" w:sz="4" w:space="0"/>
            </w:tcBorders>
            <w:tcMar>
              <w:top w:w="10" w:type="dxa"/>
              <w:left w:w="10" w:type="dxa"/>
              <w:bottom w:w="0" w:type="dxa"/>
              <w:right w:w="10" w:type="dxa"/>
            </w:tcMar>
            <w:vAlign w:val="center"/>
          </w:tcPr>
          <w:p>
            <w:pPr>
              <w:spacing w:line="500" w:lineRule="atLeast"/>
              <w:jc w:val="center"/>
              <w:textAlignment w:val="center"/>
              <w:rPr>
                <w:rFonts w:ascii="宋体" w:hAnsi="宋体" w:eastAsia="宋体" w:cs="Times New Roman"/>
                <w:color w:val="000000"/>
                <w:szCs w:val="21"/>
              </w:rPr>
            </w:pPr>
          </w:p>
        </w:tc>
      </w:tr>
      <w:tr>
        <w:tblPrEx>
          <w:tblCellMar>
            <w:top w:w="0" w:type="dxa"/>
            <w:left w:w="0" w:type="dxa"/>
            <w:bottom w:w="0" w:type="dxa"/>
            <w:right w:w="0" w:type="dxa"/>
          </w:tblCellMar>
        </w:tblPrEx>
        <w:trPr>
          <w:trHeight w:val="239" w:hRule="atLeast"/>
        </w:trPr>
        <w:tc>
          <w:tcPr>
            <w:tcW w:w="417" w:type="pct"/>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spacing w:line="500" w:lineRule="atLeast"/>
              <w:jc w:val="center"/>
              <w:textAlignment w:val="center"/>
              <w:rPr>
                <w:rFonts w:ascii="宋体" w:hAnsi="宋体" w:eastAsia="宋体" w:cs="Times New Roman"/>
                <w:color w:val="000000"/>
                <w:szCs w:val="21"/>
              </w:rPr>
            </w:pPr>
            <w:r>
              <w:rPr>
                <w:rFonts w:ascii="宋体" w:hAnsi="宋体" w:eastAsia="宋体" w:cs="Times New Roman"/>
                <w:color w:val="000000"/>
                <w:szCs w:val="21"/>
              </w:rPr>
              <w:t>正高级</w:t>
            </w:r>
          </w:p>
        </w:tc>
        <w:tc>
          <w:tcPr>
            <w:tcW w:w="306" w:type="pct"/>
            <w:tcBorders>
              <w:top w:val="single" w:color="000000" w:sz="4" w:space="0"/>
              <w:left w:val="nil"/>
              <w:bottom w:val="single" w:color="000000" w:sz="4" w:space="0"/>
              <w:right w:val="single" w:color="000000" w:sz="4" w:space="0"/>
            </w:tcBorders>
            <w:tcMar>
              <w:top w:w="10" w:type="dxa"/>
              <w:left w:w="10" w:type="dxa"/>
              <w:bottom w:w="0" w:type="dxa"/>
              <w:right w:w="10" w:type="dxa"/>
            </w:tcMar>
            <w:vAlign w:val="center"/>
          </w:tcPr>
          <w:p>
            <w:pPr>
              <w:widowControl/>
              <w:spacing w:line="500" w:lineRule="atLeast"/>
              <w:jc w:val="center"/>
              <w:textAlignment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6</w:t>
            </w:r>
          </w:p>
        </w:tc>
        <w:tc>
          <w:tcPr>
            <w:tcW w:w="375" w:type="pct"/>
            <w:tcBorders>
              <w:top w:val="single" w:color="000000" w:sz="4" w:space="0"/>
              <w:left w:val="nil"/>
              <w:bottom w:val="single" w:color="000000" w:sz="4" w:space="0"/>
              <w:right w:val="single" w:color="000000" w:sz="4" w:space="0"/>
            </w:tcBorders>
            <w:tcMar>
              <w:top w:w="10" w:type="dxa"/>
              <w:left w:w="10" w:type="dxa"/>
              <w:bottom w:w="0" w:type="dxa"/>
              <w:right w:w="10" w:type="dxa"/>
            </w:tcMar>
            <w:vAlign w:val="center"/>
          </w:tcPr>
          <w:p>
            <w:pPr>
              <w:widowControl/>
              <w:spacing w:line="500" w:lineRule="atLeast"/>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0</w:t>
            </w:r>
          </w:p>
        </w:tc>
        <w:tc>
          <w:tcPr>
            <w:tcW w:w="348" w:type="pct"/>
            <w:tcBorders>
              <w:top w:val="single" w:color="000000" w:sz="4" w:space="0"/>
              <w:left w:val="nil"/>
              <w:bottom w:val="single" w:color="000000" w:sz="4" w:space="0"/>
              <w:right w:val="single" w:color="000000" w:sz="4" w:space="0"/>
            </w:tcBorders>
            <w:tcMar>
              <w:top w:w="10" w:type="dxa"/>
              <w:left w:w="10" w:type="dxa"/>
              <w:bottom w:w="0" w:type="dxa"/>
              <w:right w:w="10" w:type="dxa"/>
            </w:tcMar>
            <w:vAlign w:val="center"/>
          </w:tcPr>
          <w:p>
            <w:pPr>
              <w:widowControl/>
              <w:spacing w:line="500" w:lineRule="atLeast"/>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0</w:t>
            </w:r>
          </w:p>
        </w:tc>
        <w:tc>
          <w:tcPr>
            <w:tcW w:w="348" w:type="pct"/>
            <w:tcBorders>
              <w:top w:val="single" w:color="000000" w:sz="4" w:space="0"/>
              <w:left w:val="nil"/>
              <w:bottom w:val="single" w:color="000000" w:sz="4" w:space="0"/>
              <w:right w:val="single" w:color="000000" w:sz="4" w:space="0"/>
            </w:tcBorders>
            <w:tcMar>
              <w:top w:w="10" w:type="dxa"/>
              <w:left w:w="10" w:type="dxa"/>
              <w:bottom w:w="0" w:type="dxa"/>
              <w:right w:w="10" w:type="dxa"/>
            </w:tcMar>
            <w:vAlign w:val="center"/>
          </w:tcPr>
          <w:p>
            <w:pPr>
              <w:widowControl/>
              <w:spacing w:line="500" w:lineRule="atLeast"/>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1</w:t>
            </w:r>
          </w:p>
        </w:tc>
        <w:tc>
          <w:tcPr>
            <w:tcW w:w="348" w:type="pct"/>
            <w:tcBorders>
              <w:top w:val="single" w:color="000000" w:sz="4" w:space="0"/>
              <w:left w:val="nil"/>
              <w:bottom w:val="single" w:color="000000" w:sz="4" w:space="0"/>
              <w:right w:val="single" w:color="000000" w:sz="4" w:space="0"/>
            </w:tcBorders>
            <w:tcMar>
              <w:top w:w="10" w:type="dxa"/>
              <w:left w:w="10" w:type="dxa"/>
              <w:bottom w:w="0" w:type="dxa"/>
              <w:right w:w="10" w:type="dxa"/>
            </w:tcMar>
            <w:vAlign w:val="center"/>
          </w:tcPr>
          <w:p>
            <w:pPr>
              <w:widowControl/>
              <w:spacing w:line="500" w:lineRule="atLeast"/>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5</w:t>
            </w:r>
          </w:p>
        </w:tc>
        <w:tc>
          <w:tcPr>
            <w:tcW w:w="375" w:type="pct"/>
            <w:tcBorders>
              <w:top w:val="single" w:color="000000" w:sz="4" w:space="0"/>
              <w:left w:val="nil"/>
              <w:bottom w:val="single" w:color="000000" w:sz="4" w:space="0"/>
              <w:right w:val="single" w:color="000000" w:sz="4" w:space="0"/>
            </w:tcBorders>
            <w:tcMar>
              <w:top w:w="10" w:type="dxa"/>
              <w:left w:w="10" w:type="dxa"/>
              <w:bottom w:w="0" w:type="dxa"/>
              <w:right w:w="10" w:type="dxa"/>
            </w:tcMar>
            <w:vAlign w:val="center"/>
          </w:tcPr>
          <w:p>
            <w:pPr>
              <w:widowControl/>
              <w:spacing w:line="500" w:lineRule="atLeast"/>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0</w:t>
            </w:r>
          </w:p>
        </w:tc>
        <w:tc>
          <w:tcPr>
            <w:tcW w:w="417" w:type="pct"/>
            <w:tcBorders>
              <w:top w:val="single" w:color="000000" w:sz="4" w:space="0"/>
              <w:left w:val="nil"/>
              <w:bottom w:val="single" w:color="000000" w:sz="4" w:space="0"/>
              <w:right w:val="single" w:color="000000" w:sz="4" w:space="0"/>
            </w:tcBorders>
            <w:tcMar>
              <w:top w:w="10" w:type="dxa"/>
              <w:left w:w="10" w:type="dxa"/>
              <w:bottom w:w="0" w:type="dxa"/>
              <w:right w:w="10" w:type="dxa"/>
            </w:tcMar>
            <w:vAlign w:val="center"/>
          </w:tcPr>
          <w:p>
            <w:pPr>
              <w:widowControl/>
              <w:spacing w:line="500" w:lineRule="atLeast"/>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6</w:t>
            </w:r>
          </w:p>
        </w:tc>
        <w:tc>
          <w:tcPr>
            <w:tcW w:w="417" w:type="pct"/>
            <w:tcBorders>
              <w:top w:val="single" w:color="000000" w:sz="4" w:space="0"/>
              <w:left w:val="nil"/>
              <w:bottom w:val="single" w:color="000000" w:sz="4" w:space="0"/>
              <w:right w:val="single" w:color="000000" w:sz="4" w:space="0"/>
            </w:tcBorders>
            <w:tcMar>
              <w:top w:w="10" w:type="dxa"/>
              <w:left w:w="10" w:type="dxa"/>
              <w:bottom w:w="0" w:type="dxa"/>
              <w:right w:w="10" w:type="dxa"/>
            </w:tcMar>
            <w:vAlign w:val="center"/>
          </w:tcPr>
          <w:p>
            <w:pPr>
              <w:widowControl/>
              <w:spacing w:line="500" w:lineRule="atLeast"/>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0</w:t>
            </w:r>
          </w:p>
        </w:tc>
        <w:tc>
          <w:tcPr>
            <w:tcW w:w="417" w:type="pct"/>
            <w:tcBorders>
              <w:top w:val="single" w:color="000000" w:sz="4" w:space="0"/>
              <w:left w:val="nil"/>
              <w:bottom w:val="single" w:color="000000" w:sz="4" w:space="0"/>
              <w:right w:val="single" w:color="000000" w:sz="4" w:space="0"/>
            </w:tcBorders>
            <w:tcMar>
              <w:top w:w="10" w:type="dxa"/>
              <w:left w:w="10" w:type="dxa"/>
              <w:bottom w:w="0" w:type="dxa"/>
              <w:right w:w="10" w:type="dxa"/>
            </w:tcMar>
            <w:vAlign w:val="center"/>
          </w:tcPr>
          <w:p>
            <w:pPr>
              <w:widowControl/>
              <w:spacing w:line="500" w:lineRule="atLeast"/>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6</w:t>
            </w:r>
          </w:p>
        </w:tc>
        <w:tc>
          <w:tcPr>
            <w:tcW w:w="809" w:type="pct"/>
            <w:tcBorders>
              <w:top w:val="single" w:color="000000" w:sz="4" w:space="0"/>
              <w:left w:val="nil"/>
              <w:bottom w:val="single" w:color="000000" w:sz="4" w:space="0"/>
              <w:right w:val="single" w:color="000000" w:sz="4" w:space="0"/>
            </w:tcBorders>
            <w:tcMar>
              <w:top w:w="10" w:type="dxa"/>
              <w:left w:w="10" w:type="dxa"/>
              <w:bottom w:w="0" w:type="dxa"/>
              <w:right w:w="10" w:type="dxa"/>
            </w:tcMar>
            <w:vAlign w:val="center"/>
          </w:tcPr>
          <w:p>
            <w:pPr>
              <w:widowControl/>
              <w:spacing w:line="500" w:lineRule="atLeast"/>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0</w:t>
            </w:r>
          </w:p>
        </w:tc>
        <w:tc>
          <w:tcPr>
            <w:tcW w:w="417" w:type="pct"/>
            <w:tcBorders>
              <w:top w:val="single" w:color="000000" w:sz="4" w:space="0"/>
              <w:left w:val="nil"/>
              <w:bottom w:val="single" w:color="000000" w:sz="4" w:space="0"/>
              <w:right w:val="single" w:color="000000" w:sz="4" w:space="0"/>
            </w:tcBorders>
            <w:tcMar>
              <w:top w:w="10" w:type="dxa"/>
              <w:left w:w="10" w:type="dxa"/>
              <w:bottom w:w="0" w:type="dxa"/>
              <w:right w:w="10" w:type="dxa"/>
            </w:tcMar>
            <w:vAlign w:val="center"/>
          </w:tcPr>
          <w:p>
            <w:pPr>
              <w:widowControl/>
              <w:spacing w:line="500" w:lineRule="atLeast"/>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0</w:t>
            </w:r>
          </w:p>
        </w:tc>
      </w:tr>
      <w:tr>
        <w:tblPrEx>
          <w:tblCellMar>
            <w:top w:w="0" w:type="dxa"/>
            <w:left w:w="0" w:type="dxa"/>
            <w:bottom w:w="0" w:type="dxa"/>
            <w:right w:w="0" w:type="dxa"/>
          </w:tblCellMar>
        </w:tblPrEx>
        <w:trPr>
          <w:trHeight w:val="301" w:hRule="atLeast"/>
        </w:trPr>
        <w:tc>
          <w:tcPr>
            <w:tcW w:w="417" w:type="pct"/>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spacing w:line="500" w:lineRule="atLeast"/>
              <w:jc w:val="center"/>
              <w:textAlignment w:val="center"/>
              <w:rPr>
                <w:rFonts w:ascii="宋体" w:hAnsi="宋体" w:eastAsia="宋体" w:cs="Times New Roman"/>
                <w:color w:val="000000"/>
                <w:szCs w:val="21"/>
              </w:rPr>
            </w:pPr>
            <w:r>
              <w:rPr>
                <w:rFonts w:ascii="宋体" w:hAnsi="宋体" w:eastAsia="宋体" w:cs="Times New Roman"/>
                <w:color w:val="000000"/>
                <w:szCs w:val="21"/>
              </w:rPr>
              <w:t>副高级</w:t>
            </w:r>
          </w:p>
        </w:tc>
        <w:tc>
          <w:tcPr>
            <w:tcW w:w="306" w:type="pct"/>
            <w:tcBorders>
              <w:top w:val="single" w:color="000000" w:sz="4" w:space="0"/>
              <w:left w:val="nil"/>
              <w:bottom w:val="single" w:color="000000" w:sz="4" w:space="0"/>
              <w:right w:val="single" w:color="000000" w:sz="4" w:space="0"/>
            </w:tcBorders>
            <w:tcMar>
              <w:top w:w="10" w:type="dxa"/>
              <w:left w:w="10" w:type="dxa"/>
              <w:bottom w:w="0" w:type="dxa"/>
              <w:right w:w="10" w:type="dxa"/>
            </w:tcMar>
            <w:vAlign w:val="center"/>
          </w:tcPr>
          <w:p>
            <w:pPr>
              <w:widowControl/>
              <w:spacing w:line="500" w:lineRule="atLeast"/>
              <w:jc w:val="center"/>
              <w:textAlignment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18</w:t>
            </w:r>
          </w:p>
        </w:tc>
        <w:tc>
          <w:tcPr>
            <w:tcW w:w="375" w:type="pct"/>
            <w:tcBorders>
              <w:top w:val="single" w:color="000000" w:sz="4" w:space="0"/>
              <w:left w:val="nil"/>
              <w:bottom w:val="single" w:color="000000" w:sz="4" w:space="0"/>
              <w:right w:val="single" w:color="000000" w:sz="4" w:space="0"/>
            </w:tcBorders>
            <w:tcMar>
              <w:top w:w="10" w:type="dxa"/>
              <w:left w:w="10" w:type="dxa"/>
              <w:bottom w:w="0" w:type="dxa"/>
              <w:right w:w="10" w:type="dxa"/>
            </w:tcMar>
            <w:vAlign w:val="center"/>
          </w:tcPr>
          <w:p>
            <w:pPr>
              <w:widowControl/>
              <w:spacing w:line="500" w:lineRule="atLeast"/>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0</w:t>
            </w:r>
          </w:p>
        </w:tc>
        <w:tc>
          <w:tcPr>
            <w:tcW w:w="348" w:type="pct"/>
            <w:tcBorders>
              <w:top w:val="single" w:color="000000" w:sz="4" w:space="0"/>
              <w:left w:val="nil"/>
              <w:bottom w:val="single" w:color="000000" w:sz="4" w:space="0"/>
              <w:right w:val="single" w:color="000000" w:sz="4" w:space="0"/>
            </w:tcBorders>
            <w:tcMar>
              <w:top w:w="10" w:type="dxa"/>
              <w:left w:w="10" w:type="dxa"/>
              <w:bottom w:w="0" w:type="dxa"/>
              <w:right w:w="10" w:type="dxa"/>
            </w:tcMar>
            <w:vAlign w:val="center"/>
          </w:tcPr>
          <w:p>
            <w:pPr>
              <w:widowControl/>
              <w:spacing w:line="500" w:lineRule="atLeast"/>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2</w:t>
            </w:r>
          </w:p>
        </w:tc>
        <w:tc>
          <w:tcPr>
            <w:tcW w:w="348" w:type="pct"/>
            <w:tcBorders>
              <w:top w:val="single" w:color="000000" w:sz="4" w:space="0"/>
              <w:left w:val="nil"/>
              <w:bottom w:val="single" w:color="000000" w:sz="4" w:space="0"/>
              <w:right w:val="single" w:color="000000" w:sz="4" w:space="0"/>
            </w:tcBorders>
            <w:tcMar>
              <w:top w:w="10" w:type="dxa"/>
              <w:left w:w="10" w:type="dxa"/>
              <w:bottom w:w="0" w:type="dxa"/>
              <w:right w:w="10" w:type="dxa"/>
            </w:tcMar>
            <w:vAlign w:val="center"/>
          </w:tcPr>
          <w:p>
            <w:pPr>
              <w:widowControl/>
              <w:spacing w:line="500" w:lineRule="atLeast"/>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6</w:t>
            </w:r>
          </w:p>
        </w:tc>
        <w:tc>
          <w:tcPr>
            <w:tcW w:w="348" w:type="pct"/>
            <w:tcBorders>
              <w:top w:val="single" w:color="000000" w:sz="4" w:space="0"/>
              <w:left w:val="nil"/>
              <w:bottom w:val="single" w:color="000000" w:sz="4" w:space="0"/>
              <w:right w:val="single" w:color="000000" w:sz="4" w:space="0"/>
            </w:tcBorders>
            <w:tcMar>
              <w:top w:w="10" w:type="dxa"/>
              <w:left w:w="10" w:type="dxa"/>
              <w:bottom w:w="0" w:type="dxa"/>
              <w:right w:w="10" w:type="dxa"/>
            </w:tcMar>
            <w:vAlign w:val="center"/>
          </w:tcPr>
          <w:p>
            <w:pPr>
              <w:widowControl/>
              <w:spacing w:line="500" w:lineRule="atLeast"/>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10</w:t>
            </w:r>
          </w:p>
        </w:tc>
        <w:tc>
          <w:tcPr>
            <w:tcW w:w="375" w:type="pct"/>
            <w:tcBorders>
              <w:top w:val="single" w:color="000000" w:sz="4" w:space="0"/>
              <w:left w:val="nil"/>
              <w:bottom w:val="single" w:color="000000" w:sz="4" w:space="0"/>
              <w:right w:val="single" w:color="000000" w:sz="4" w:space="0"/>
            </w:tcBorders>
            <w:tcMar>
              <w:top w:w="10" w:type="dxa"/>
              <w:left w:w="10" w:type="dxa"/>
              <w:bottom w:w="0" w:type="dxa"/>
              <w:right w:w="10" w:type="dxa"/>
            </w:tcMar>
            <w:vAlign w:val="center"/>
          </w:tcPr>
          <w:p>
            <w:pPr>
              <w:widowControl/>
              <w:spacing w:line="500" w:lineRule="atLeast"/>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0</w:t>
            </w:r>
          </w:p>
        </w:tc>
        <w:tc>
          <w:tcPr>
            <w:tcW w:w="417" w:type="pct"/>
            <w:tcBorders>
              <w:top w:val="single" w:color="000000" w:sz="4" w:space="0"/>
              <w:left w:val="nil"/>
              <w:bottom w:val="single" w:color="000000" w:sz="4" w:space="0"/>
              <w:right w:val="single" w:color="000000" w:sz="4" w:space="0"/>
            </w:tcBorders>
            <w:tcMar>
              <w:top w:w="10" w:type="dxa"/>
              <w:left w:w="10" w:type="dxa"/>
              <w:bottom w:w="0" w:type="dxa"/>
              <w:right w:w="10" w:type="dxa"/>
            </w:tcMar>
            <w:vAlign w:val="center"/>
          </w:tcPr>
          <w:p>
            <w:pPr>
              <w:widowControl/>
              <w:spacing w:line="500" w:lineRule="atLeast"/>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12</w:t>
            </w:r>
          </w:p>
        </w:tc>
        <w:tc>
          <w:tcPr>
            <w:tcW w:w="417" w:type="pct"/>
            <w:tcBorders>
              <w:top w:val="single" w:color="000000" w:sz="4" w:space="0"/>
              <w:left w:val="nil"/>
              <w:bottom w:val="single" w:color="000000" w:sz="4" w:space="0"/>
              <w:right w:val="single" w:color="000000" w:sz="4" w:space="0"/>
            </w:tcBorders>
            <w:tcMar>
              <w:top w:w="10" w:type="dxa"/>
              <w:left w:w="10" w:type="dxa"/>
              <w:bottom w:w="0" w:type="dxa"/>
              <w:right w:w="10" w:type="dxa"/>
            </w:tcMar>
            <w:vAlign w:val="center"/>
          </w:tcPr>
          <w:p>
            <w:pPr>
              <w:widowControl/>
              <w:spacing w:line="500" w:lineRule="atLeast"/>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5</w:t>
            </w:r>
          </w:p>
        </w:tc>
        <w:tc>
          <w:tcPr>
            <w:tcW w:w="417" w:type="pct"/>
            <w:tcBorders>
              <w:top w:val="single" w:color="000000" w:sz="4" w:space="0"/>
              <w:left w:val="nil"/>
              <w:bottom w:val="single" w:color="000000" w:sz="4" w:space="0"/>
              <w:right w:val="single" w:color="000000" w:sz="4" w:space="0"/>
            </w:tcBorders>
            <w:tcMar>
              <w:top w:w="10" w:type="dxa"/>
              <w:left w:w="10" w:type="dxa"/>
              <w:bottom w:w="0" w:type="dxa"/>
              <w:right w:w="10" w:type="dxa"/>
            </w:tcMar>
            <w:vAlign w:val="center"/>
          </w:tcPr>
          <w:p>
            <w:pPr>
              <w:widowControl/>
              <w:spacing w:line="500" w:lineRule="atLeast"/>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13</w:t>
            </w:r>
          </w:p>
        </w:tc>
        <w:tc>
          <w:tcPr>
            <w:tcW w:w="809" w:type="pct"/>
            <w:tcBorders>
              <w:top w:val="single" w:color="000000" w:sz="4" w:space="0"/>
              <w:left w:val="nil"/>
              <w:bottom w:val="single" w:color="000000" w:sz="4" w:space="0"/>
              <w:right w:val="single" w:color="000000" w:sz="4" w:space="0"/>
            </w:tcBorders>
            <w:tcMar>
              <w:top w:w="10" w:type="dxa"/>
              <w:left w:w="10" w:type="dxa"/>
              <w:bottom w:w="0" w:type="dxa"/>
              <w:right w:w="10" w:type="dxa"/>
            </w:tcMar>
            <w:vAlign w:val="center"/>
          </w:tcPr>
          <w:p>
            <w:pPr>
              <w:widowControl/>
              <w:spacing w:line="500" w:lineRule="atLeast"/>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5</w:t>
            </w:r>
          </w:p>
        </w:tc>
        <w:tc>
          <w:tcPr>
            <w:tcW w:w="417" w:type="pct"/>
            <w:tcBorders>
              <w:top w:val="single" w:color="000000" w:sz="4" w:space="0"/>
              <w:left w:val="nil"/>
              <w:bottom w:val="single" w:color="000000" w:sz="4" w:space="0"/>
              <w:right w:val="single" w:color="000000" w:sz="4" w:space="0"/>
            </w:tcBorders>
            <w:tcMar>
              <w:top w:w="10" w:type="dxa"/>
              <w:left w:w="10" w:type="dxa"/>
              <w:bottom w:w="0" w:type="dxa"/>
              <w:right w:w="10" w:type="dxa"/>
            </w:tcMar>
            <w:vAlign w:val="center"/>
          </w:tcPr>
          <w:p>
            <w:pPr>
              <w:widowControl/>
              <w:spacing w:line="500" w:lineRule="atLeast"/>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0</w:t>
            </w:r>
          </w:p>
        </w:tc>
      </w:tr>
      <w:tr>
        <w:tblPrEx>
          <w:tblCellMar>
            <w:top w:w="0" w:type="dxa"/>
            <w:left w:w="0" w:type="dxa"/>
            <w:bottom w:w="0" w:type="dxa"/>
            <w:right w:w="0" w:type="dxa"/>
          </w:tblCellMar>
        </w:tblPrEx>
        <w:trPr>
          <w:trHeight w:val="93" w:hRule="atLeast"/>
        </w:trPr>
        <w:tc>
          <w:tcPr>
            <w:tcW w:w="417" w:type="pct"/>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spacing w:line="500" w:lineRule="atLeast"/>
              <w:jc w:val="center"/>
              <w:textAlignment w:val="center"/>
              <w:rPr>
                <w:rFonts w:ascii="宋体" w:hAnsi="宋体" w:eastAsia="宋体" w:cs="Times New Roman"/>
                <w:color w:val="000000"/>
                <w:szCs w:val="21"/>
              </w:rPr>
            </w:pPr>
            <w:r>
              <w:rPr>
                <w:rFonts w:ascii="宋体" w:hAnsi="宋体" w:eastAsia="宋体" w:cs="Times New Roman"/>
                <w:color w:val="000000"/>
                <w:szCs w:val="21"/>
              </w:rPr>
              <w:t>中级</w:t>
            </w:r>
          </w:p>
        </w:tc>
        <w:tc>
          <w:tcPr>
            <w:tcW w:w="306" w:type="pct"/>
            <w:tcBorders>
              <w:top w:val="single" w:color="000000" w:sz="4" w:space="0"/>
              <w:left w:val="nil"/>
              <w:bottom w:val="single" w:color="000000" w:sz="4" w:space="0"/>
              <w:right w:val="single" w:color="000000" w:sz="4" w:space="0"/>
            </w:tcBorders>
            <w:tcMar>
              <w:top w:w="10" w:type="dxa"/>
              <w:left w:w="10" w:type="dxa"/>
              <w:bottom w:w="0" w:type="dxa"/>
              <w:right w:w="10" w:type="dxa"/>
            </w:tcMar>
            <w:vAlign w:val="center"/>
          </w:tcPr>
          <w:p>
            <w:pPr>
              <w:widowControl/>
              <w:spacing w:line="500" w:lineRule="atLeast"/>
              <w:jc w:val="center"/>
              <w:textAlignment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11</w:t>
            </w:r>
          </w:p>
        </w:tc>
        <w:tc>
          <w:tcPr>
            <w:tcW w:w="375" w:type="pct"/>
            <w:tcBorders>
              <w:top w:val="single" w:color="000000" w:sz="4" w:space="0"/>
              <w:left w:val="nil"/>
              <w:bottom w:val="single" w:color="000000" w:sz="4" w:space="0"/>
              <w:right w:val="single" w:color="000000" w:sz="4" w:space="0"/>
            </w:tcBorders>
            <w:tcMar>
              <w:top w:w="10" w:type="dxa"/>
              <w:left w:w="10" w:type="dxa"/>
              <w:bottom w:w="0" w:type="dxa"/>
              <w:right w:w="10" w:type="dxa"/>
            </w:tcMar>
            <w:vAlign w:val="center"/>
          </w:tcPr>
          <w:p>
            <w:pPr>
              <w:widowControl/>
              <w:spacing w:line="500" w:lineRule="atLeast"/>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0</w:t>
            </w:r>
          </w:p>
        </w:tc>
        <w:tc>
          <w:tcPr>
            <w:tcW w:w="348" w:type="pct"/>
            <w:tcBorders>
              <w:top w:val="single" w:color="000000" w:sz="4" w:space="0"/>
              <w:left w:val="nil"/>
              <w:bottom w:val="single" w:color="000000" w:sz="4" w:space="0"/>
              <w:right w:val="single" w:color="000000" w:sz="4" w:space="0"/>
            </w:tcBorders>
            <w:tcMar>
              <w:top w:w="10" w:type="dxa"/>
              <w:left w:w="10" w:type="dxa"/>
              <w:bottom w:w="0" w:type="dxa"/>
              <w:right w:w="10" w:type="dxa"/>
            </w:tcMar>
            <w:vAlign w:val="center"/>
          </w:tcPr>
          <w:p>
            <w:pPr>
              <w:widowControl/>
              <w:spacing w:line="500" w:lineRule="atLeast"/>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3</w:t>
            </w:r>
          </w:p>
        </w:tc>
        <w:tc>
          <w:tcPr>
            <w:tcW w:w="348" w:type="pct"/>
            <w:tcBorders>
              <w:top w:val="single" w:color="000000" w:sz="4" w:space="0"/>
              <w:left w:val="nil"/>
              <w:bottom w:val="single" w:color="000000" w:sz="4" w:space="0"/>
              <w:right w:val="single" w:color="000000" w:sz="4" w:space="0"/>
            </w:tcBorders>
            <w:tcMar>
              <w:top w:w="10" w:type="dxa"/>
              <w:left w:w="10" w:type="dxa"/>
              <w:bottom w:w="0" w:type="dxa"/>
              <w:right w:w="10" w:type="dxa"/>
            </w:tcMar>
            <w:vAlign w:val="center"/>
          </w:tcPr>
          <w:p>
            <w:pPr>
              <w:widowControl/>
              <w:spacing w:line="500" w:lineRule="atLeast"/>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5</w:t>
            </w:r>
          </w:p>
        </w:tc>
        <w:tc>
          <w:tcPr>
            <w:tcW w:w="348" w:type="pct"/>
            <w:tcBorders>
              <w:top w:val="single" w:color="000000" w:sz="4" w:space="0"/>
              <w:left w:val="nil"/>
              <w:bottom w:val="single" w:color="000000" w:sz="4" w:space="0"/>
              <w:right w:val="single" w:color="000000" w:sz="4" w:space="0"/>
            </w:tcBorders>
            <w:tcMar>
              <w:top w:w="10" w:type="dxa"/>
              <w:left w:w="10" w:type="dxa"/>
              <w:bottom w:w="0" w:type="dxa"/>
              <w:right w:w="10" w:type="dxa"/>
            </w:tcMar>
            <w:vAlign w:val="center"/>
          </w:tcPr>
          <w:p>
            <w:pPr>
              <w:widowControl/>
              <w:spacing w:line="500" w:lineRule="atLeast"/>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3</w:t>
            </w:r>
          </w:p>
        </w:tc>
        <w:tc>
          <w:tcPr>
            <w:tcW w:w="375" w:type="pct"/>
            <w:tcBorders>
              <w:top w:val="single" w:color="000000" w:sz="4" w:space="0"/>
              <w:left w:val="nil"/>
              <w:bottom w:val="single" w:color="000000" w:sz="4" w:space="0"/>
              <w:right w:val="single" w:color="000000" w:sz="4" w:space="0"/>
            </w:tcBorders>
            <w:tcMar>
              <w:top w:w="10" w:type="dxa"/>
              <w:left w:w="10" w:type="dxa"/>
              <w:bottom w:w="0" w:type="dxa"/>
              <w:right w:w="10" w:type="dxa"/>
            </w:tcMar>
            <w:vAlign w:val="center"/>
          </w:tcPr>
          <w:p>
            <w:pPr>
              <w:widowControl/>
              <w:spacing w:line="500" w:lineRule="atLeast"/>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0</w:t>
            </w:r>
          </w:p>
        </w:tc>
        <w:tc>
          <w:tcPr>
            <w:tcW w:w="417" w:type="pct"/>
            <w:tcBorders>
              <w:top w:val="single" w:color="000000" w:sz="4" w:space="0"/>
              <w:left w:val="nil"/>
              <w:bottom w:val="single" w:color="000000" w:sz="4" w:space="0"/>
              <w:right w:val="single" w:color="000000" w:sz="4" w:space="0"/>
            </w:tcBorders>
            <w:tcMar>
              <w:top w:w="10" w:type="dxa"/>
              <w:left w:w="10" w:type="dxa"/>
              <w:bottom w:w="0" w:type="dxa"/>
              <w:right w:w="10" w:type="dxa"/>
            </w:tcMar>
            <w:vAlign w:val="center"/>
          </w:tcPr>
          <w:p>
            <w:pPr>
              <w:widowControl/>
              <w:spacing w:line="500" w:lineRule="atLeast"/>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6</w:t>
            </w:r>
          </w:p>
        </w:tc>
        <w:tc>
          <w:tcPr>
            <w:tcW w:w="417" w:type="pct"/>
            <w:tcBorders>
              <w:top w:val="single" w:color="000000" w:sz="4" w:space="0"/>
              <w:left w:val="nil"/>
              <w:bottom w:val="single" w:color="000000" w:sz="4" w:space="0"/>
              <w:right w:val="single" w:color="000000" w:sz="4" w:space="0"/>
            </w:tcBorders>
            <w:tcMar>
              <w:top w:w="10" w:type="dxa"/>
              <w:left w:w="10" w:type="dxa"/>
              <w:bottom w:w="0" w:type="dxa"/>
              <w:right w:w="10" w:type="dxa"/>
            </w:tcMar>
            <w:vAlign w:val="center"/>
          </w:tcPr>
          <w:p>
            <w:pPr>
              <w:widowControl/>
              <w:spacing w:line="500" w:lineRule="atLeast"/>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5</w:t>
            </w:r>
          </w:p>
        </w:tc>
        <w:tc>
          <w:tcPr>
            <w:tcW w:w="417" w:type="pct"/>
            <w:tcBorders>
              <w:top w:val="single" w:color="000000" w:sz="4" w:space="0"/>
              <w:left w:val="nil"/>
              <w:bottom w:val="single" w:color="000000" w:sz="4" w:space="0"/>
              <w:right w:val="single" w:color="000000" w:sz="4" w:space="0"/>
            </w:tcBorders>
            <w:tcMar>
              <w:top w:w="10" w:type="dxa"/>
              <w:left w:w="10" w:type="dxa"/>
              <w:bottom w:w="0" w:type="dxa"/>
              <w:right w:w="10" w:type="dxa"/>
            </w:tcMar>
            <w:vAlign w:val="center"/>
          </w:tcPr>
          <w:p>
            <w:pPr>
              <w:widowControl/>
              <w:spacing w:line="500" w:lineRule="atLeast"/>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4</w:t>
            </w:r>
          </w:p>
        </w:tc>
        <w:tc>
          <w:tcPr>
            <w:tcW w:w="809" w:type="pct"/>
            <w:tcBorders>
              <w:top w:val="single" w:color="000000" w:sz="4" w:space="0"/>
              <w:left w:val="nil"/>
              <w:bottom w:val="single" w:color="000000" w:sz="4" w:space="0"/>
              <w:right w:val="single" w:color="000000" w:sz="4" w:space="0"/>
            </w:tcBorders>
            <w:tcMar>
              <w:top w:w="10" w:type="dxa"/>
              <w:left w:w="10" w:type="dxa"/>
              <w:bottom w:w="0" w:type="dxa"/>
              <w:right w:w="10" w:type="dxa"/>
            </w:tcMar>
            <w:vAlign w:val="center"/>
          </w:tcPr>
          <w:p>
            <w:pPr>
              <w:widowControl/>
              <w:spacing w:line="500" w:lineRule="atLeast"/>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6</w:t>
            </w:r>
          </w:p>
        </w:tc>
        <w:tc>
          <w:tcPr>
            <w:tcW w:w="417" w:type="pct"/>
            <w:tcBorders>
              <w:top w:val="single" w:color="000000" w:sz="4" w:space="0"/>
              <w:left w:val="nil"/>
              <w:bottom w:val="single" w:color="000000" w:sz="4" w:space="0"/>
              <w:right w:val="single" w:color="000000" w:sz="4" w:space="0"/>
            </w:tcBorders>
            <w:tcMar>
              <w:top w:w="10" w:type="dxa"/>
              <w:left w:w="10" w:type="dxa"/>
              <w:bottom w:w="0" w:type="dxa"/>
              <w:right w:w="10" w:type="dxa"/>
            </w:tcMar>
            <w:vAlign w:val="center"/>
          </w:tcPr>
          <w:p>
            <w:pPr>
              <w:widowControl/>
              <w:spacing w:line="500" w:lineRule="atLeast"/>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0</w:t>
            </w:r>
          </w:p>
        </w:tc>
      </w:tr>
      <w:tr>
        <w:tblPrEx>
          <w:tblCellMar>
            <w:top w:w="0" w:type="dxa"/>
            <w:left w:w="0" w:type="dxa"/>
            <w:bottom w:w="0" w:type="dxa"/>
            <w:right w:w="0" w:type="dxa"/>
          </w:tblCellMar>
        </w:tblPrEx>
        <w:trPr>
          <w:trHeight w:val="183" w:hRule="atLeast"/>
        </w:trPr>
        <w:tc>
          <w:tcPr>
            <w:tcW w:w="417" w:type="pct"/>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spacing w:line="500" w:lineRule="atLeast"/>
              <w:jc w:val="center"/>
              <w:textAlignment w:val="center"/>
              <w:rPr>
                <w:rFonts w:ascii="宋体" w:hAnsi="宋体" w:eastAsia="宋体" w:cs="Times New Roman"/>
                <w:color w:val="000000"/>
                <w:szCs w:val="21"/>
              </w:rPr>
            </w:pPr>
            <w:r>
              <w:rPr>
                <w:rFonts w:ascii="宋体" w:hAnsi="宋体" w:eastAsia="宋体" w:cs="Times New Roman"/>
                <w:color w:val="000000"/>
                <w:szCs w:val="21"/>
              </w:rPr>
              <w:t>其他</w:t>
            </w:r>
          </w:p>
        </w:tc>
        <w:tc>
          <w:tcPr>
            <w:tcW w:w="306" w:type="pct"/>
            <w:tcBorders>
              <w:top w:val="single" w:color="000000" w:sz="4" w:space="0"/>
              <w:left w:val="nil"/>
              <w:bottom w:val="single" w:color="000000" w:sz="4" w:space="0"/>
              <w:right w:val="single" w:color="000000" w:sz="4" w:space="0"/>
            </w:tcBorders>
            <w:tcMar>
              <w:top w:w="10" w:type="dxa"/>
              <w:left w:w="10" w:type="dxa"/>
              <w:bottom w:w="0" w:type="dxa"/>
              <w:right w:w="10" w:type="dxa"/>
            </w:tcMar>
            <w:vAlign w:val="center"/>
          </w:tcPr>
          <w:p>
            <w:pPr>
              <w:widowControl/>
              <w:spacing w:line="500" w:lineRule="atLeast"/>
              <w:jc w:val="center"/>
              <w:textAlignment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0</w:t>
            </w:r>
          </w:p>
        </w:tc>
        <w:tc>
          <w:tcPr>
            <w:tcW w:w="375" w:type="pct"/>
            <w:tcBorders>
              <w:top w:val="single" w:color="000000" w:sz="4" w:space="0"/>
              <w:left w:val="nil"/>
              <w:bottom w:val="single" w:color="000000" w:sz="4" w:space="0"/>
              <w:right w:val="single" w:color="000000" w:sz="4" w:space="0"/>
            </w:tcBorders>
            <w:tcMar>
              <w:top w:w="10" w:type="dxa"/>
              <w:left w:w="10" w:type="dxa"/>
              <w:bottom w:w="0" w:type="dxa"/>
              <w:right w:w="10" w:type="dxa"/>
            </w:tcMar>
            <w:vAlign w:val="center"/>
          </w:tcPr>
          <w:p>
            <w:pPr>
              <w:widowControl/>
              <w:spacing w:line="500" w:lineRule="atLeast"/>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0</w:t>
            </w:r>
          </w:p>
        </w:tc>
        <w:tc>
          <w:tcPr>
            <w:tcW w:w="348" w:type="pct"/>
            <w:tcBorders>
              <w:top w:val="single" w:color="000000" w:sz="4" w:space="0"/>
              <w:left w:val="nil"/>
              <w:bottom w:val="single" w:color="000000" w:sz="4" w:space="0"/>
              <w:right w:val="single" w:color="000000" w:sz="4" w:space="0"/>
            </w:tcBorders>
            <w:tcMar>
              <w:top w:w="10" w:type="dxa"/>
              <w:left w:w="10" w:type="dxa"/>
              <w:bottom w:w="0" w:type="dxa"/>
              <w:right w:w="10" w:type="dxa"/>
            </w:tcMar>
            <w:vAlign w:val="center"/>
          </w:tcPr>
          <w:p>
            <w:pPr>
              <w:widowControl/>
              <w:spacing w:line="500" w:lineRule="atLeast"/>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0</w:t>
            </w:r>
          </w:p>
        </w:tc>
        <w:tc>
          <w:tcPr>
            <w:tcW w:w="348" w:type="pct"/>
            <w:tcBorders>
              <w:top w:val="single" w:color="000000" w:sz="4" w:space="0"/>
              <w:left w:val="nil"/>
              <w:bottom w:val="single" w:color="000000" w:sz="4" w:space="0"/>
              <w:right w:val="single" w:color="000000" w:sz="4" w:space="0"/>
            </w:tcBorders>
            <w:tcMar>
              <w:top w:w="10" w:type="dxa"/>
              <w:left w:w="10" w:type="dxa"/>
              <w:bottom w:w="0" w:type="dxa"/>
              <w:right w:w="10" w:type="dxa"/>
            </w:tcMar>
            <w:vAlign w:val="center"/>
          </w:tcPr>
          <w:p>
            <w:pPr>
              <w:widowControl/>
              <w:spacing w:line="500" w:lineRule="atLeast"/>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0</w:t>
            </w:r>
          </w:p>
        </w:tc>
        <w:tc>
          <w:tcPr>
            <w:tcW w:w="348" w:type="pct"/>
            <w:tcBorders>
              <w:top w:val="single" w:color="000000" w:sz="4" w:space="0"/>
              <w:left w:val="nil"/>
              <w:bottom w:val="single" w:color="000000" w:sz="4" w:space="0"/>
              <w:right w:val="single" w:color="000000" w:sz="4" w:space="0"/>
            </w:tcBorders>
            <w:tcMar>
              <w:top w:w="10" w:type="dxa"/>
              <w:left w:w="10" w:type="dxa"/>
              <w:bottom w:w="0" w:type="dxa"/>
              <w:right w:w="10" w:type="dxa"/>
            </w:tcMar>
            <w:vAlign w:val="center"/>
          </w:tcPr>
          <w:p>
            <w:pPr>
              <w:widowControl/>
              <w:spacing w:line="500" w:lineRule="atLeast"/>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0</w:t>
            </w:r>
          </w:p>
        </w:tc>
        <w:tc>
          <w:tcPr>
            <w:tcW w:w="375" w:type="pct"/>
            <w:tcBorders>
              <w:top w:val="single" w:color="000000" w:sz="4" w:space="0"/>
              <w:left w:val="nil"/>
              <w:bottom w:val="single" w:color="000000" w:sz="4" w:space="0"/>
              <w:right w:val="single" w:color="000000" w:sz="4" w:space="0"/>
            </w:tcBorders>
            <w:tcMar>
              <w:top w:w="10" w:type="dxa"/>
              <w:left w:w="10" w:type="dxa"/>
              <w:bottom w:w="0" w:type="dxa"/>
              <w:right w:w="10" w:type="dxa"/>
            </w:tcMar>
            <w:vAlign w:val="center"/>
          </w:tcPr>
          <w:p>
            <w:pPr>
              <w:widowControl/>
              <w:spacing w:line="500" w:lineRule="atLeast"/>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0</w:t>
            </w:r>
          </w:p>
        </w:tc>
        <w:tc>
          <w:tcPr>
            <w:tcW w:w="417" w:type="pct"/>
            <w:tcBorders>
              <w:top w:val="single" w:color="000000" w:sz="4" w:space="0"/>
              <w:left w:val="nil"/>
              <w:bottom w:val="single" w:color="000000" w:sz="4" w:space="0"/>
              <w:right w:val="single" w:color="000000" w:sz="4" w:space="0"/>
            </w:tcBorders>
            <w:tcMar>
              <w:top w:w="10" w:type="dxa"/>
              <w:left w:w="10" w:type="dxa"/>
              <w:bottom w:w="0" w:type="dxa"/>
              <w:right w:w="10" w:type="dxa"/>
            </w:tcMar>
            <w:vAlign w:val="center"/>
          </w:tcPr>
          <w:p>
            <w:pPr>
              <w:widowControl/>
              <w:spacing w:line="500" w:lineRule="atLeast"/>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0</w:t>
            </w:r>
          </w:p>
        </w:tc>
        <w:tc>
          <w:tcPr>
            <w:tcW w:w="417" w:type="pct"/>
            <w:tcBorders>
              <w:top w:val="single" w:color="000000" w:sz="4" w:space="0"/>
              <w:left w:val="nil"/>
              <w:bottom w:val="single" w:color="000000" w:sz="4" w:space="0"/>
              <w:right w:val="single" w:color="000000" w:sz="4" w:space="0"/>
            </w:tcBorders>
            <w:tcMar>
              <w:top w:w="10" w:type="dxa"/>
              <w:left w:w="10" w:type="dxa"/>
              <w:bottom w:w="0" w:type="dxa"/>
              <w:right w:w="10" w:type="dxa"/>
            </w:tcMar>
            <w:vAlign w:val="center"/>
          </w:tcPr>
          <w:p>
            <w:pPr>
              <w:widowControl/>
              <w:spacing w:line="500" w:lineRule="atLeast"/>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0</w:t>
            </w:r>
          </w:p>
        </w:tc>
        <w:tc>
          <w:tcPr>
            <w:tcW w:w="417" w:type="pct"/>
            <w:tcBorders>
              <w:top w:val="single" w:color="000000" w:sz="4" w:space="0"/>
              <w:left w:val="nil"/>
              <w:bottom w:val="single" w:color="000000" w:sz="4" w:space="0"/>
              <w:right w:val="single" w:color="000000" w:sz="4" w:space="0"/>
            </w:tcBorders>
            <w:tcMar>
              <w:top w:w="10" w:type="dxa"/>
              <w:left w:w="10" w:type="dxa"/>
              <w:bottom w:w="0" w:type="dxa"/>
              <w:right w:w="10" w:type="dxa"/>
            </w:tcMar>
            <w:vAlign w:val="center"/>
          </w:tcPr>
          <w:p>
            <w:pPr>
              <w:widowControl/>
              <w:spacing w:line="500" w:lineRule="atLeast"/>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0</w:t>
            </w:r>
          </w:p>
        </w:tc>
        <w:tc>
          <w:tcPr>
            <w:tcW w:w="809" w:type="pct"/>
            <w:tcBorders>
              <w:top w:val="single" w:color="000000" w:sz="4" w:space="0"/>
              <w:left w:val="nil"/>
              <w:bottom w:val="single" w:color="000000" w:sz="4" w:space="0"/>
              <w:right w:val="single" w:color="000000" w:sz="4" w:space="0"/>
            </w:tcBorders>
            <w:tcMar>
              <w:top w:w="10" w:type="dxa"/>
              <w:left w:w="10" w:type="dxa"/>
              <w:bottom w:w="0" w:type="dxa"/>
              <w:right w:w="10" w:type="dxa"/>
            </w:tcMar>
            <w:vAlign w:val="center"/>
          </w:tcPr>
          <w:p>
            <w:pPr>
              <w:widowControl/>
              <w:spacing w:line="500" w:lineRule="atLeast"/>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0</w:t>
            </w:r>
          </w:p>
        </w:tc>
        <w:tc>
          <w:tcPr>
            <w:tcW w:w="417" w:type="pct"/>
            <w:tcBorders>
              <w:top w:val="single" w:color="000000" w:sz="4" w:space="0"/>
              <w:left w:val="nil"/>
              <w:bottom w:val="single" w:color="000000" w:sz="4" w:space="0"/>
              <w:right w:val="single" w:color="000000" w:sz="4" w:space="0"/>
            </w:tcBorders>
            <w:tcMar>
              <w:top w:w="10" w:type="dxa"/>
              <w:left w:w="10" w:type="dxa"/>
              <w:bottom w:w="0" w:type="dxa"/>
              <w:right w:w="10" w:type="dxa"/>
            </w:tcMar>
            <w:vAlign w:val="center"/>
          </w:tcPr>
          <w:p>
            <w:pPr>
              <w:widowControl/>
              <w:spacing w:line="500" w:lineRule="atLeast"/>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0</w:t>
            </w:r>
          </w:p>
        </w:tc>
      </w:tr>
      <w:tr>
        <w:tblPrEx>
          <w:tblCellMar>
            <w:top w:w="0" w:type="dxa"/>
            <w:left w:w="0" w:type="dxa"/>
            <w:bottom w:w="0" w:type="dxa"/>
            <w:right w:w="0" w:type="dxa"/>
          </w:tblCellMar>
        </w:tblPrEx>
        <w:trPr>
          <w:trHeight w:val="60" w:hRule="atLeast"/>
        </w:trPr>
        <w:tc>
          <w:tcPr>
            <w:tcW w:w="417" w:type="pct"/>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spacing w:line="500" w:lineRule="atLeast"/>
              <w:jc w:val="center"/>
              <w:textAlignment w:val="center"/>
              <w:rPr>
                <w:rFonts w:ascii="宋体" w:hAnsi="宋体" w:eastAsia="宋体" w:cs="Times New Roman"/>
                <w:color w:val="000000"/>
                <w:szCs w:val="21"/>
              </w:rPr>
            </w:pPr>
            <w:r>
              <w:rPr>
                <w:rFonts w:ascii="宋体" w:hAnsi="宋体" w:eastAsia="宋体" w:cs="Times New Roman"/>
                <w:color w:val="000000"/>
                <w:szCs w:val="21"/>
              </w:rPr>
              <w:t>总计</w:t>
            </w:r>
          </w:p>
        </w:tc>
        <w:tc>
          <w:tcPr>
            <w:tcW w:w="306" w:type="pct"/>
            <w:tcBorders>
              <w:top w:val="single" w:color="000000" w:sz="4" w:space="0"/>
              <w:left w:val="nil"/>
              <w:bottom w:val="single" w:color="000000" w:sz="4" w:space="0"/>
              <w:right w:val="single" w:color="000000" w:sz="4" w:space="0"/>
            </w:tcBorders>
            <w:tcMar>
              <w:top w:w="10" w:type="dxa"/>
              <w:left w:w="10" w:type="dxa"/>
              <w:bottom w:w="0" w:type="dxa"/>
              <w:right w:w="10" w:type="dxa"/>
            </w:tcMar>
            <w:vAlign w:val="center"/>
          </w:tcPr>
          <w:p>
            <w:pPr>
              <w:widowControl/>
              <w:spacing w:line="500" w:lineRule="atLeast"/>
              <w:jc w:val="center"/>
              <w:textAlignment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35</w:t>
            </w:r>
          </w:p>
        </w:tc>
        <w:tc>
          <w:tcPr>
            <w:tcW w:w="375" w:type="pct"/>
            <w:tcBorders>
              <w:top w:val="single" w:color="000000" w:sz="4" w:space="0"/>
              <w:left w:val="nil"/>
              <w:bottom w:val="single" w:color="000000" w:sz="4" w:space="0"/>
              <w:right w:val="single" w:color="000000" w:sz="4" w:space="0"/>
            </w:tcBorders>
            <w:tcMar>
              <w:top w:w="10" w:type="dxa"/>
              <w:left w:w="10" w:type="dxa"/>
              <w:bottom w:w="0" w:type="dxa"/>
              <w:right w:w="10" w:type="dxa"/>
            </w:tcMar>
            <w:vAlign w:val="center"/>
          </w:tcPr>
          <w:p>
            <w:pPr>
              <w:widowControl/>
              <w:spacing w:line="500" w:lineRule="atLeast"/>
              <w:jc w:val="center"/>
              <w:textAlignment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0</w:t>
            </w:r>
          </w:p>
        </w:tc>
        <w:tc>
          <w:tcPr>
            <w:tcW w:w="348" w:type="pct"/>
            <w:tcBorders>
              <w:top w:val="single" w:color="000000" w:sz="4" w:space="0"/>
              <w:left w:val="nil"/>
              <w:bottom w:val="single" w:color="000000" w:sz="4" w:space="0"/>
              <w:right w:val="single" w:color="000000" w:sz="4" w:space="0"/>
            </w:tcBorders>
            <w:tcMar>
              <w:top w:w="10" w:type="dxa"/>
              <w:left w:w="10" w:type="dxa"/>
              <w:bottom w:w="0" w:type="dxa"/>
              <w:right w:w="10" w:type="dxa"/>
            </w:tcMar>
            <w:vAlign w:val="center"/>
          </w:tcPr>
          <w:p>
            <w:pPr>
              <w:widowControl/>
              <w:spacing w:line="500" w:lineRule="atLeast"/>
              <w:jc w:val="center"/>
              <w:textAlignment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5</w:t>
            </w:r>
          </w:p>
        </w:tc>
        <w:tc>
          <w:tcPr>
            <w:tcW w:w="348" w:type="pct"/>
            <w:tcBorders>
              <w:top w:val="single" w:color="000000" w:sz="4" w:space="0"/>
              <w:left w:val="nil"/>
              <w:bottom w:val="single" w:color="000000" w:sz="4" w:space="0"/>
              <w:right w:val="single" w:color="000000" w:sz="4" w:space="0"/>
            </w:tcBorders>
            <w:tcMar>
              <w:top w:w="10" w:type="dxa"/>
              <w:left w:w="10" w:type="dxa"/>
              <w:bottom w:w="0" w:type="dxa"/>
              <w:right w:w="10" w:type="dxa"/>
            </w:tcMar>
            <w:vAlign w:val="center"/>
          </w:tcPr>
          <w:p>
            <w:pPr>
              <w:widowControl/>
              <w:spacing w:line="500" w:lineRule="atLeast"/>
              <w:jc w:val="center"/>
              <w:textAlignment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12</w:t>
            </w:r>
          </w:p>
        </w:tc>
        <w:tc>
          <w:tcPr>
            <w:tcW w:w="348" w:type="pct"/>
            <w:tcBorders>
              <w:top w:val="single" w:color="000000" w:sz="4" w:space="0"/>
              <w:left w:val="nil"/>
              <w:bottom w:val="single" w:color="000000" w:sz="4" w:space="0"/>
              <w:right w:val="single" w:color="000000" w:sz="4" w:space="0"/>
            </w:tcBorders>
            <w:tcMar>
              <w:top w:w="10" w:type="dxa"/>
              <w:left w:w="10" w:type="dxa"/>
              <w:bottom w:w="0" w:type="dxa"/>
              <w:right w:w="10" w:type="dxa"/>
            </w:tcMar>
            <w:vAlign w:val="center"/>
          </w:tcPr>
          <w:p>
            <w:pPr>
              <w:widowControl/>
              <w:spacing w:line="500" w:lineRule="atLeast"/>
              <w:jc w:val="center"/>
              <w:textAlignment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18</w:t>
            </w:r>
          </w:p>
        </w:tc>
        <w:tc>
          <w:tcPr>
            <w:tcW w:w="375" w:type="pct"/>
            <w:tcBorders>
              <w:top w:val="single" w:color="000000" w:sz="4" w:space="0"/>
              <w:left w:val="nil"/>
              <w:bottom w:val="single" w:color="000000" w:sz="4" w:space="0"/>
              <w:right w:val="single" w:color="000000" w:sz="4" w:space="0"/>
            </w:tcBorders>
            <w:tcMar>
              <w:top w:w="10" w:type="dxa"/>
              <w:left w:w="10" w:type="dxa"/>
              <w:bottom w:w="0" w:type="dxa"/>
              <w:right w:w="10" w:type="dxa"/>
            </w:tcMar>
            <w:vAlign w:val="center"/>
          </w:tcPr>
          <w:p>
            <w:pPr>
              <w:widowControl/>
              <w:spacing w:line="500" w:lineRule="atLeast"/>
              <w:jc w:val="center"/>
              <w:textAlignment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0</w:t>
            </w:r>
          </w:p>
        </w:tc>
        <w:tc>
          <w:tcPr>
            <w:tcW w:w="417" w:type="pct"/>
            <w:tcBorders>
              <w:top w:val="single" w:color="000000" w:sz="4" w:space="0"/>
              <w:left w:val="nil"/>
              <w:bottom w:val="single" w:color="000000" w:sz="4" w:space="0"/>
              <w:right w:val="single" w:color="000000" w:sz="4" w:space="0"/>
            </w:tcBorders>
            <w:tcMar>
              <w:top w:w="10" w:type="dxa"/>
              <w:left w:w="10" w:type="dxa"/>
              <w:bottom w:w="0" w:type="dxa"/>
              <w:right w:w="10" w:type="dxa"/>
            </w:tcMar>
            <w:vAlign w:val="center"/>
          </w:tcPr>
          <w:p>
            <w:pPr>
              <w:widowControl/>
              <w:spacing w:line="500" w:lineRule="atLeast"/>
              <w:jc w:val="center"/>
              <w:textAlignment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24</w:t>
            </w:r>
          </w:p>
        </w:tc>
        <w:tc>
          <w:tcPr>
            <w:tcW w:w="417" w:type="pct"/>
            <w:tcBorders>
              <w:top w:val="single" w:color="000000" w:sz="4" w:space="0"/>
              <w:left w:val="nil"/>
              <w:bottom w:val="single" w:color="000000" w:sz="4" w:space="0"/>
              <w:right w:val="single" w:color="000000" w:sz="4" w:space="0"/>
            </w:tcBorders>
            <w:tcMar>
              <w:top w:w="10" w:type="dxa"/>
              <w:left w:w="10" w:type="dxa"/>
              <w:bottom w:w="0" w:type="dxa"/>
              <w:right w:w="10" w:type="dxa"/>
            </w:tcMar>
            <w:vAlign w:val="center"/>
          </w:tcPr>
          <w:p>
            <w:pPr>
              <w:widowControl/>
              <w:spacing w:line="500" w:lineRule="atLeast"/>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10</w:t>
            </w:r>
          </w:p>
        </w:tc>
        <w:tc>
          <w:tcPr>
            <w:tcW w:w="417" w:type="pct"/>
            <w:tcBorders>
              <w:top w:val="single" w:color="000000" w:sz="4" w:space="0"/>
              <w:left w:val="nil"/>
              <w:bottom w:val="single" w:color="000000" w:sz="4" w:space="0"/>
              <w:right w:val="single" w:color="000000" w:sz="4" w:space="0"/>
            </w:tcBorders>
            <w:tcMar>
              <w:top w:w="10" w:type="dxa"/>
              <w:left w:w="10" w:type="dxa"/>
              <w:bottom w:w="0" w:type="dxa"/>
              <w:right w:w="10" w:type="dxa"/>
            </w:tcMar>
            <w:vAlign w:val="center"/>
          </w:tcPr>
          <w:p>
            <w:pPr>
              <w:widowControl/>
              <w:spacing w:line="500" w:lineRule="atLeast"/>
              <w:jc w:val="center"/>
              <w:textAlignment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23</w:t>
            </w:r>
          </w:p>
        </w:tc>
        <w:tc>
          <w:tcPr>
            <w:tcW w:w="809" w:type="pct"/>
            <w:tcBorders>
              <w:top w:val="single" w:color="000000" w:sz="4" w:space="0"/>
              <w:left w:val="nil"/>
              <w:bottom w:val="single" w:color="000000" w:sz="4" w:space="0"/>
              <w:right w:val="single" w:color="000000" w:sz="4" w:space="0"/>
            </w:tcBorders>
            <w:tcMar>
              <w:top w:w="10" w:type="dxa"/>
              <w:left w:w="10" w:type="dxa"/>
              <w:bottom w:w="0" w:type="dxa"/>
              <w:right w:w="10" w:type="dxa"/>
            </w:tcMar>
            <w:vAlign w:val="center"/>
          </w:tcPr>
          <w:p>
            <w:pPr>
              <w:widowControl/>
              <w:spacing w:line="500" w:lineRule="atLeast"/>
              <w:jc w:val="center"/>
              <w:textAlignment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11</w:t>
            </w:r>
          </w:p>
        </w:tc>
        <w:tc>
          <w:tcPr>
            <w:tcW w:w="417" w:type="pct"/>
            <w:tcBorders>
              <w:top w:val="single" w:color="000000" w:sz="4" w:space="0"/>
              <w:left w:val="nil"/>
              <w:bottom w:val="single" w:color="000000" w:sz="4" w:space="0"/>
              <w:right w:val="single" w:color="000000" w:sz="4" w:space="0"/>
            </w:tcBorders>
            <w:tcMar>
              <w:top w:w="10" w:type="dxa"/>
              <w:left w:w="10" w:type="dxa"/>
              <w:bottom w:w="0" w:type="dxa"/>
              <w:right w:w="10" w:type="dxa"/>
            </w:tcMar>
            <w:vAlign w:val="center"/>
          </w:tcPr>
          <w:p>
            <w:pPr>
              <w:widowControl/>
              <w:spacing w:line="500" w:lineRule="atLeast"/>
              <w:jc w:val="center"/>
              <w:textAlignment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0</w:t>
            </w:r>
          </w:p>
        </w:tc>
      </w:tr>
    </w:tbl>
    <w:p>
      <w:pPr>
        <w:pStyle w:val="16"/>
        <w:spacing w:line="500" w:lineRule="atLeast"/>
        <w:ind w:firstLine="482"/>
        <w:rPr>
          <w:rFonts w:ascii="宋体" w:hAnsi="宋体" w:eastAsia="宋体"/>
          <w:b/>
          <w:bCs/>
          <w:sz w:val="24"/>
          <w:szCs w:val="24"/>
        </w:rPr>
      </w:pPr>
    </w:p>
    <w:p>
      <w:pPr>
        <w:pStyle w:val="16"/>
        <w:spacing w:line="500" w:lineRule="atLeast"/>
        <w:ind w:firstLine="640"/>
        <w:rPr>
          <w:rFonts w:ascii="仿宋" w:hAnsi="仿宋" w:eastAsia="仿宋" w:cs="仿宋"/>
          <w:sz w:val="32"/>
          <w:szCs w:val="32"/>
        </w:rPr>
      </w:pPr>
      <w:r>
        <w:rPr>
          <w:rFonts w:hint="eastAsia" w:ascii="仿宋" w:hAnsi="仿宋" w:eastAsia="仿宋" w:cs="仿宋"/>
          <w:sz w:val="32"/>
          <w:szCs w:val="32"/>
        </w:rPr>
        <w:t>3.科学研究</w:t>
      </w:r>
    </w:p>
    <w:p>
      <w:pPr>
        <w:pStyle w:val="16"/>
        <w:spacing w:line="500" w:lineRule="atLeast"/>
        <w:ind w:firstLine="480"/>
        <w:rPr>
          <w:rFonts w:ascii="宋体" w:hAnsi="宋体" w:eastAsia="宋体"/>
          <w:bCs/>
          <w:sz w:val="24"/>
        </w:rPr>
      </w:pPr>
      <w:r>
        <w:rPr>
          <w:rFonts w:hint="eastAsia" w:ascii="宋体" w:hAnsi="宋体" w:eastAsia="宋体"/>
          <w:bCs/>
          <w:sz w:val="24"/>
        </w:rPr>
        <w:t>2020年，本学科点新增国家自然科学基金、国家社会科学基金、教育部、农业部、省软科学等纵向科研项目共10项，总经费65.3万元，已到账58.9万元；新增横向课题经费115.02万元。出版专著1部，在国内外权威刊物发表学术论文70篇。</w:t>
      </w:r>
    </w:p>
    <w:p>
      <w:pPr>
        <w:pStyle w:val="16"/>
        <w:spacing w:line="500" w:lineRule="atLeast"/>
        <w:ind w:firstLine="640"/>
        <w:rPr>
          <w:rFonts w:ascii="仿宋" w:hAnsi="仿宋" w:eastAsia="仿宋" w:cs="仿宋"/>
          <w:sz w:val="32"/>
          <w:szCs w:val="32"/>
        </w:rPr>
      </w:pPr>
      <w:r>
        <w:rPr>
          <w:rFonts w:hint="eastAsia" w:ascii="仿宋" w:hAnsi="仿宋" w:eastAsia="仿宋" w:cs="仿宋"/>
          <w:sz w:val="32"/>
          <w:szCs w:val="32"/>
        </w:rPr>
        <w:t>4.教学科研支撑</w:t>
      </w:r>
    </w:p>
    <w:p>
      <w:pPr>
        <w:pStyle w:val="15"/>
        <w:snapToGrid w:val="0"/>
        <w:spacing w:line="500" w:lineRule="atLeast"/>
        <w:ind w:firstLine="482"/>
        <w:rPr>
          <w:rFonts w:ascii="宋体" w:hAnsi="宋体" w:cs="Times"/>
          <w:b/>
          <w:bCs/>
          <w:sz w:val="24"/>
          <w:szCs w:val="24"/>
        </w:rPr>
      </w:pPr>
      <w:r>
        <w:rPr>
          <w:rFonts w:hint="eastAsia" w:ascii="宋体" w:hAnsi="宋体" w:cs="Times"/>
          <w:b/>
          <w:bCs/>
          <w:sz w:val="24"/>
          <w:szCs w:val="24"/>
        </w:rPr>
        <w:t>（1）具有比较完善的教学科研设备、设施</w:t>
      </w:r>
    </w:p>
    <w:p>
      <w:pPr>
        <w:spacing w:line="500" w:lineRule="atLeast"/>
        <w:ind w:firstLine="480" w:firstLineChars="200"/>
        <w:rPr>
          <w:rFonts w:ascii="宋体" w:hAnsi="宋体" w:eastAsia="宋体"/>
          <w:bCs/>
          <w:sz w:val="24"/>
        </w:rPr>
      </w:pPr>
      <w:r>
        <w:rPr>
          <w:rFonts w:hint="eastAsia" w:ascii="宋体" w:hAnsi="宋体" w:eastAsia="宋体"/>
          <w:bCs/>
          <w:sz w:val="24"/>
        </w:rPr>
        <w:t>学院电子阅览室不仅提供了硬件设施，而且还提供如维普数据库、学位论文数据库等多种电子文献的检索入口；学院的专业实验室和多媒体实验室，为网络化教学和科研研究提供了全方位的保障；学校图书馆为本学科提供了专业文献的光盘塔、镜像文献等较完善的文献保障体系。</w:t>
      </w:r>
    </w:p>
    <w:p>
      <w:pPr>
        <w:pStyle w:val="15"/>
        <w:snapToGrid w:val="0"/>
        <w:spacing w:line="500" w:lineRule="atLeast"/>
        <w:ind w:firstLine="482"/>
        <w:rPr>
          <w:rFonts w:ascii="宋体" w:hAnsi="宋体" w:cs="Times"/>
          <w:b/>
          <w:bCs/>
          <w:sz w:val="24"/>
          <w:szCs w:val="24"/>
        </w:rPr>
      </w:pPr>
      <w:r>
        <w:rPr>
          <w:rFonts w:hint="eastAsia" w:ascii="宋体" w:hAnsi="宋体" w:cs="Times"/>
          <w:b/>
          <w:bCs/>
          <w:sz w:val="24"/>
          <w:szCs w:val="24"/>
        </w:rPr>
        <w:t>（2）拥有丰富的参考文献、资料</w:t>
      </w:r>
    </w:p>
    <w:p>
      <w:pPr>
        <w:spacing w:line="500" w:lineRule="atLeast"/>
        <w:ind w:firstLine="480" w:firstLineChars="200"/>
        <w:rPr>
          <w:rFonts w:ascii="宋体" w:hAnsi="宋体" w:eastAsia="宋体"/>
          <w:bCs/>
          <w:sz w:val="24"/>
        </w:rPr>
      </w:pPr>
      <w:r>
        <w:rPr>
          <w:rFonts w:hint="eastAsia" w:ascii="宋体" w:hAnsi="宋体" w:eastAsia="宋体"/>
          <w:bCs/>
          <w:sz w:val="24"/>
        </w:rPr>
        <w:t>本学科点的图书资料室拥有应用经济学科相关的中外文藏书7.8万余册，拥有《中国社会科学》、《经济研究》、《世界经济》、《金融研究》、《经济地理》、《International Journal of Finance &amp; Economics》、《Journal of Applied Econometrics》和《Financial Review》等国内外权威期刊380余种。丰富的参考文献能满足教师和学生的阅读需要。</w:t>
      </w:r>
    </w:p>
    <w:p>
      <w:pPr>
        <w:pStyle w:val="15"/>
        <w:snapToGrid w:val="0"/>
        <w:spacing w:line="500" w:lineRule="atLeast"/>
        <w:ind w:firstLine="482"/>
        <w:rPr>
          <w:rFonts w:ascii="宋体" w:hAnsi="宋体" w:cs="Times"/>
          <w:b/>
          <w:bCs/>
          <w:sz w:val="24"/>
          <w:szCs w:val="24"/>
        </w:rPr>
      </w:pPr>
      <w:r>
        <w:rPr>
          <w:rFonts w:hint="eastAsia" w:ascii="宋体" w:hAnsi="宋体" w:cs="Times"/>
          <w:b/>
          <w:bCs/>
          <w:sz w:val="24"/>
          <w:szCs w:val="24"/>
        </w:rPr>
        <w:t>（3）具有良好的教学科研工作平台</w:t>
      </w:r>
    </w:p>
    <w:p>
      <w:pPr>
        <w:spacing w:line="500" w:lineRule="atLeast"/>
        <w:ind w:firstLine="480" w:firstLineChars="200"/>
        <w:rPr>
          <w:rFonts w:ascii="宋体" w:hAnsi="宋体" w:eastAsia="宋体"/>
          <w:bCs/>
          <w:sz w:val="24"/>
        </w:rPr>
      </w:pPr>
      <w:r>
        <w:rPr>
          <w:rFonts w:ascii="宋体" w:hAnsi="宋体" w:eastAsia="宋体"/>
          <w:bCs/>
          <w:sz w:val="24"/>
        </w:rPr>
        <w:t>本学科点设有教育部批准的部级创新平台：国别和区域研究中心——“南太平洋岛国研究中心”、福建省高校特色创新智库——福建普惠金融研究院</w:t>
      </w:r>
      <w:r>
        <w:rPr>
          <w:rFonts w:hint="eastAsia" w:ascii="宋体" w:hAnsi="宋体" w:eastAsia="宋体"/>
          <w:bCs/>
          <w:sz w:val="24"/>
        </w:rPr>
        <w:t>和海峡两岸乡村振兴研究院以及福建省</w:t>
      </w:r>
      <w:r>
        <w:rPr>
          <w:rFonts w:ascii="宋体" w:hAnsi="宋体" w:eastAsia="宋体"/>
          <w:bCs/>
          <w:sz w:val="24"/>
        </w:rPr>
        <w:t>校人文社会科学研究基地</w:t>
      </w:r>
      <w:r>
        <w:rPr>
          <w:rFonts w:hint="eastAsia" w:ascii="宋体" w:hAnsi="宋体" w:eastAsia="宋体"/>
          <w:bCs/>
          <w:sz w:val="24"/>
        </w:rPr>
        <w:t>——</w:t>
      </w:r>
      <w:r>
        <w:rPr>
          <w:rFonts w:ascii="宋体" w:hAnsi="宋体" w:eastAsia="宋体"/>
          <w:bCs/>
          <w:sz w:val="24"/>
        </w:rPr>
        <w:t>茶产业发展研究中心</w:t>
      </w:r>
      <w:r>
        <w:rPr>
          <w:rFonts w:hint="eastAsia" w:ascii="宋体" w:hAnsi="宋体" w:eastAsia="宋体"/>
          <w:bCs/>
          <w:sz w:val="24"/>
        </w:rPr>
        <w:t>四</w:t>
      </w:r>
      <w:r>
        <w:rPr>
          <w:rFonts w:ascii="宋体" w:hAnsi="宋体" w:eastAsia="宋体"/>
          <w:bCs/>
          <w:sz w:val="24"/>
        </w:rPr>
        <w:t>大学科平台。</w:t>
      </w:r>
    </w:p>
    <w:p>
      <w:pPr>
        <w:pStyle w:val="16"/>
        <w:spacing w:line="500" w:lineRule="atLeast"/>
        <w:ind w:firstLine="640"/>
        <w:rPr>
          <w:rFonts w:ascii="仿宋" w:hAnsi="仿宋" w:eastAsia="仿宋" w:cs="仿宋"/>
          <w:sz w:val="32"/>
          <w:szCs w:val="32"/>
        </w:rPr>
      </w:pPr>
      <w:r>
        <w:rPr>
          <w:rFonts w:hint="eastAsia" w:ascii="仿宋" w:hAnsi="仿宋" w:eastAsia="仿宋" w:cs="仿宋"/>
          <w:sz w:val="32"/>
          <w:szCs w:val="32"/>
        </w:rPr>
        <w:t>5.奖助体系</w:t>
      </w:r>
    </w:p>
    <w:p>
      <w:pPr>
        <w:pStyle w:val="15"/>
        <w:snapToGrid w:val="0"/>
        <w:spacing w:line="500" w:lineRule="atLeast"/>
        <w:ind w:firstLine="482"/>
        <w:jc w:val="center"/>
        <w:rPr>
          <w:rFonts w:ascii="宋体" w:hAnsi="宋体" w:cs="Times"/>
          <w:sz w:val="24"/>
          <w:szCs w:val="24"/>
        </w:rPr>
      </w:pPr>
      <w:r>
        <w:rPr>
          <w:rFonts w:hint="eastAsia" w:ascii="宋体" w:hAnsi="宋体"/>
          <w:b/>
          <w:bCs/>
          <w:sz w:val="24"/>
          <w:szCs w:val="24"/>
        </w:rPr>
        <w:t>表2 学位点研究生奖助体系、水平和覆盖度</w:t>
      </w:r>
    </w:p>
    <w:tbl>
      <w:tblPr>
        <w:tblStyle w:val="10"/>
        <w:tblW w:w="8674"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489"/>
        <w:gridCol w:w="1155"/>
        <w:gridCol w:w="1427"/>
        <w:gridCol w:w="1873"/>
        <w:gridCol w:w="273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Pr>
        <w:tc>
          <w:tcPr>
            <w:tcW w:w="1489" w:type="dxa"/>
            <w:tcBorders>
              <w:top w:val="single" w:color="auto" w:sz="4" w:space="0"/>
              <w:left w:val="single" w:color="auto" w:sz="8" w:space="0"/>
              <w:bottom w:val="single" w:color="auto" w:sz="4" w:space="0"/>
              <w:right w:val="single" w:color="auto" w:sz="4" w:space="0"/>
            </w:tcBorders>
            <w:vAlign w:val="center"/>
          </w:tcPr>
          <w:p>
            <w:pPr>
              <w:spacing w:line="500" w:lineRule="atLeast"/>
              <w:jc w:val="left"/>
              <w:rPr>
                <w:rFonts w:ascii="宋体" w:hAnsi="宋体" w:eastAsia="宋体"/>
                <w:szCs w:val="21"/>
              </w:rPr>
            </w:pPr>
            <w:r>
              <w:rPr>
                <w:rFonts w:hint="eastAsia" w:ascii="宋体" w:hAnsi="宋体" w:eastAsia="宋体"/>
                <w:szCs w:val="21"/>
              </w:rPr>
              <w:t>奖助类型</w:t>
            </w:r>
          </w:p>
        </w:tc>
        <w:tc>
          <w:tcPr>
            <w:tcW w:w="1155" w:type="dxa"/>
            <w:tcBorders>
              <w:top w:val="single" w:color="auto" w:sz="4" w:space="0"/>
              <w:left w:val="single" w:color="auto" w:sz="4" w:space="0"/>
              <w:bottom w:val="single" w:color="auto" w:sz="4" w:space="0"/>
              <w:right w:val="single" w:color="auto" w:sz="4" w:space="0"/>
            </w:tcBorders>
            <w:vAlign w:val="center"/>
          </w:tcPr>
          <w:p>
            <w:pPr>
              <w:spacing w:line="500" w:lineRule="atLeast"/>
              <w:jc w:val="left"/>
              <w:rPr>
                <w:rFonts w:ascii="宋体" w:hAnsi="宋体" w:eastAsia="宋体"/>
                <w:szCs w:val="21"/>
              </w:rPr>
            </w:pPr>
            <w:r>
              <w:rPr>
                <w:rFonts w:hint="eastAsia" w:ascii="宋体" w:hAnsi="宋体" w:eastAsia="宋体"/>
                <w:szCs w:val="21"/>
              </w:rPr>
              <w:t>项目/等级</w:t>
            </w:r>
          </w:p>
        </w:tc>
        <w:tc>
          <w:tcPr>
            <w:tcW w:w="3300" w:type="dxa"/>
            <w:gridSpan w:val="2"/>
            <w:tcBorders>
              <w:top w:val="single" w:color="auto" w:sz="4" w:space="0"/>
              <w:left w:val="single" w:color="auto" w:sz="4" w:space="0"/>
              <w:bottom w:val="single" w:color="auto" w:sz="4" w:space="0"/>
              <w:right w:val="single" w:color="auto" w:sz="4" w:space="0"/>
            </w:tcBorders>
            <w:vAlign w:val="center"/>
          </w:tcPr>
          <w:p>
            <w:pPr>
              <w:spacing w:line="500" w:lineRule="atLeast"/>
              <w:jc w:val="left"/>
              <w:rPr>
                <w:rFonts w:ascii="宋体" w:hAnsi="宋体" w:eastAsia="宋体"/>
                <w:szCs w:val="21"/>
              </w:rPr>
            </w:pPr>
            <w:r>
              <w:rPr>
                <w:rFonts w:hint="eastAsia" w:ascii="宋体" w:hAnsi="宋体" w:eastAsia="宋体"/>
                <w:szCs w:val="21"/>
              </w:rPr>
              <w:t>奖助水平（万元/生/年）</w:t>
            </w:r>
          </w:p>
        </w:tc>
        <w:tc>
          <w:tcPr>
            <w:tcW w:w="2730" w:type="dxa"/>
            <w:tcBorders>
              <w:top w:val="single" w:color="auto" w:sz="4" w:space="0"/>
              <w:left w:val="single" w:color="auto" w:sz="4" w:space="0"/>
              <w:bottom w:val="single" w:color="auto" w:sz="4" w:space="0"/>
              <w:right w:val="single" w:color="auto" w:sz="8" w:space="0"/>
            </w:tcBorders>
            <w:vAlign w:val="center"/>
          </w:tcPr>
          <w:p>
            <w:pPr>
              <w:spacing w:line="500" w:lineRule="atLeast"/>
              <w:jc w:val="left"/>
              <w:rPr>
                <w:rFonts w:ascii="宋体" w:hAnsi="宋体" w:eastAsia="宋体"/>
                <w:szCs w:val="21"/>
              </w:rPr>
            </w:pPr>
            <w:r>
              <w:rPr>
                <w:rFonts w:hint="eastAsia" w:ascii="宋体" w:hAnsi="宋体" w:eastAsia="宋体"/>
                <w:szCs w:val="21"/>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Pr>
        <w:tc>
          <w:tcPr>
            <w:tcW w:w="1489" w:type="dxa"/>
            <w:tcBorders>
              <w:top w:val="single" w:color="auto" w:sz="4" w:space="0"/>
              <w:left w:val="single" w:color="auto" w:sz="8" w:space="0"/>
              <w:bottom w:val="single" w:color="auto" w:sz="4" w:space="0"/>
              <w:right w:val="single" w:color="auto" w:sz="4" w:space="0"/>
            </w:tcBorders>
            <w:vAlign w:val="center"/>
          </w:tcPr>
          <w:p>
            <w:pPr>
              <w:spacing w:line="500" w:lineRule="atLeast"/>
              <w:jc w:val="left"/>
              <w:rPr>
                <w:rFonts w:ascii="宋体" w:hAnsi="宋体" w:eastAsia="宋体"/>
                <w:szCs w:val="21"/>
              </w:rPr>
            </w:pPr>
            <w:r>
              <w:rPr>
                <w:rFonts w:hint="eastAsia" w:ascii="宋体" w:hAnsi="宋体" w:eastAsia="宋体"/>
                <w:szCs w:val="21"/>
              </w:rPr>
              <w:t>国家奖学金</w:t>
            </w:r>
          </w:p>
        </w:tc>
        <w:tc>
          <w:tcPr>
            <w:tcW w:w="1155" w:type="dxa"/>
            <w:tcBorders>
              <w:top w:val="single" w:color="auto" w:sz="4" w:space="0"/>
              <w:left w:val="single" w:color="auto" w:sz="4" w:space="0"/>
              <w:bottom w:val="single" w:color="auto" w:sz="4" w:space="0"/>
              <w:right w:val="single" w:color="auto" w:sz="4" w:space="0"/>
            </w:tcBorders>
            <w:vAlign w:val="center"/>
          </w:tcPr>
          <w:p>
            <w:pPr>
              <w:spacing w:line="500" w:lineRule="atLeast"/>
              <w:jc w:val="left"/>
              <w:rPr>
                <w:rFonts w:ascii="宋体" w:hAnsi="宋体" w:eastAsia="宋体"/>
                <w:szCs w:val="21"/>
              </w:rPr>
            </w:pPr>
            <w:r>
              <w:rPr>
                <w:rFonts w:hint="eastAsia" w:ascii="宋体" w:hAnsi="宋体" w:eastAsia="宋体"/>
                <w:szCs w:val="21"/>
              </w:rPr>
              <w:t>无</w:t>
            </w:r>
          </w:p>
        </w:tc>
        <w:tc>
          <w:tcPr>
            <w:tcW w:w="3300" w:type="dxa"/>
            <w:gridSpan w:val="2"/>
            <w:tcBorders>
              <w:top w:val="single" w:color="auto" w:sz="4" w:space="0"/>
              <w:left w:val="single" w:color="auto" w:sz="4" w:space="0"/>
              <w:bottom w:val="single" w:color="auto" w:sz="4" w:space="0"/>
              <w:right w:val="single" w:color="auto" w:sz="4" w:space="0"/>
            </w:tcBorders>
            <w:vAlign w:val="center"/>
          </w:tcPr>
          <w:p>
            <w:pPr>
              <w:spacing w:line="500" w:lineRule="atLeast"/>
              <w:jc w:val="left"/>
              <w:rPr>
                <w:rFonts w:ascii="宋体" w:hAnsi="宋体" w:eastAsia="宋体"/>
                <w:szCs w:val="21"/>
              </w:rPr>
            </w:pPr>
            <w:r>
              <w:rPr>
                <w:rFonts w:hint="eastAsia" w:ascii="宋体" w:hAnsi="宋体" w:eastAsia="宋体"/>
                <w:szCs w:val="21"/>
              </w:rPr>
              <w:t>2万元/生/年</w:t>
            </w:r>
          </w:p>
        </w:tc>
        <w:tc>
          <w:tcPr>
            <w:tcW w:w="2730" w:type="dxa"/>
            <w:tcBorders>
              <w:top w:val="single" w:color="auto" w:sz="4" w:space="0"/>
              <w:left w:val="single" w:color="auto" w:sz="4" w:space="0"/>
              <w:bottom w:val="single" w:color="auto" w:sz="4" w:space="0"/>
              <w:right w:val="single" w:color="auto" w:sz="8" w:space="0"/>
            </w:tcBorders>
            <w:vAlign w:val="center"/>
          </w:tcPr>
          <w:p>
            <w:pPr>
              <w:spacing w:line="500" w:lineRule="atLeast"/>
              <w:jc w:val="left"/>
              <w:rPr>
                <w:rFonts w:ascii="宋体" w:hAnsi="宋体" w:eastAsia="宋体"/>
                <w:szCs w:val="21"/>
              </w:rPr>
            </w:pPr>
            <w:r>
              <w:rPr>
                <w:rFonts w:hint="eastAsia" w:ascii="宋体" w:hAnsi="宋体" w:eastAsia="宋体"/>
                <w:szCs w:val="21"/>
              </w:rPr>
              <w:t>品学兼优生，奖励名额由福建省教育厅安排</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489" w:type="dxa"/>
            <w:tcBorders>
              <w:top w:val="single" w:color="auto" w:sz="4" w:space="0"/>
              <w:left w:val="single" w:color="auto" w:sz="8" w:space="0"/>
              <w:bottom w:val="single" w:color="auto" w:sz="4" w:space="0"/>
              <w:right w:val="single" w:color="auto" w:sz="4" w:space="0"/>
            </w:tcBorders>
            <w:vAlign w:val="center"/>
          </w:tcPr>
          <w:p>
            <w:pPr>
              <w:spacing w:line="500" w:lineRule="atLeast"/>
              <w:jc w:val="left"/>
              <w:rPr>
                <w:rFonts w:ascii="宋体" w:hAnsi="宋体" w:eastAsia="宋体"/>
                <w:szCs w:val="21"/>
              </w:rPr>
            </w:pPr>
            <w:r>
              <w:rPr>
                <w:rFonts w:hint="eastAsia" w:ascii="宋体" w:hAnsi="宋体" w:eastAsia="宋体"/>
                <w:szCs w:val="21"/>
              </w:rPr>
              <w:t>国家助学金</w:t>
            </w:r>
          </w:p>
        </w:tc>
        <w:tc>
          <w:tcPr>
            <w:tcW w:w="1155" w:type="dxa"/>
            <w:tcBorders>
              <w:top w:val="single" w:color="auto" w:sz="4" w:space="0"/>
              <w:left w:val="single" w:color="auto" w:sz="4" w:space="0"/>
              <w:bottom w:val="single" w:color="auto" w:sz="4" w:space="0"/>
              <w:right w:val="single" w:color="auto" w:sz="4" w:space="0"/>
            </w:tcBorders>
            <w:vAlign w:val="center"/>
          </w:tcPr>
          <w:p>
            <w:pPr>
              <w:spacing w:line="500" w:lineRule="atLeast"/>
              <w:jc w:val="left"/>
              <w:rPr>
                <w:rFonts w:ascii="宋体" w:hAnsi="宋体" w:eastAsia="宋体"/>
                <w:szCs w:val="21"/>
              </w:rPr>
            </w:pPr>
            <w:r>
              <w:rPr>
                <w:rFonts w:hint="eastAsia" w:ascii="宋体" w:hAnsi="宋体" w:eastAsia="宋体"/>
                <w:szCs w:val="21"/>
              </w:rPr>
              <w:t>无</w:t>
            </w:r>
          </w:p>
        </w:tc>
        <w:tc>
          <w:tcPr>
            <w:tcW w:w="3300" w:type="dxa"/>
            <w:gridSpan w:val="2"/>
            <w:tcBorders>
              <w:top w:val="single" w:color="auto" w:sz="4" w:space="0"/>
              <w:left w:val="single" w:color="auto" w:sz="4" w:space="0"/>
              <w:bottom w:val="single" w:color="auto" w:sz="4" w:space="0"/>
              <w:right w:val="single" w:color="auto" w:sz="4" w:space="0"/>
            </w:tcBorders>
            <w:vAlign w:val="center"/>
          </w:tcPr>
          <w:p>
            <w:pPr>
              <w:spacing w:line="500" w:lineRule="atLeast"/>
              <w:jc w:val="left"/>
              <w:rPr>
                <w:rFonts w:ascii="宋体" w:hAnsi="宋体" w:eastAsia="宋体"/>
                <w:szCs w:val="21"/>
              </w:rPr>
            </w:pPr>
            <w:r>
              <w:rPr>
                <w:rFonts w:hint="eastAsia" w:ascii="宋体" w:hAnsi="宋体" w:eastAsia="宋体"/>
                <w:szCs w:val="21"/>
              </w:rPr>
              <w:t>0.72万元/生/年</w:t>
            </w:r>
          </w:p>
        </w:tc>
        <w:tc>
          <w:tcPr>
            <w:tcW w:w="2730" w:type="dxa"/>
            <w:tcBorders>
              <w:top w:val="single" w:color="auto" w:sz="4" w:space="0"/>
              <w:left w:val="single" w:color="auto" w:sz="4" w:space="0"/>
              <w:bottom w:val="single" w:color="auto" w:sz="4" w:space="0"/>
              <w:right w:val="single" w:color="auto" w:sz="8" w:space="0"/>
            </w:tcBorders>
            <w:vAlign w:val="center"/>
          </w:tcPr>
          <w:p>
            <w:pPr>
              <w:spacing w:line="500" w:lineRule="atLeast"/>
              <w:jc w:val="left"/>
              <w:rPr>
                <w:rFonts w:ascii="宋体" w:hAnsi="宋体" w:eastAsia="宋体"/>
                <w:szCs w:val="21"/>
              </w:rPr>
            </w:pPr>
            <w:r>
              <w:rPr>
                <w:rFonts w:hint="eastAsia" w:ascii="宋体" w:hAnsi="宋体" w:eastAsia="宋体"/>
                <w:color w:val="000000"/>
                <w:szCs w:val="21"/>
              </w:rPr>
              <w:t>非定向生100%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Pr>
        <w:tc>
          <w:tcPr>
            <w:tcW w:w="1489" w:type="dxa"/>
            <w:vMerge w:val="restart"/>
            <w:tcBorders>
              <w:top w:val="single" w:color="auto" w:sz="4" w:space="0"/>
              <w:left w:val="single" w:color="auto" w:sz="8" w:space="0"/>
              <w:bottom w:val="single" w:color="auto" w:sz="4" w:space="0"/>
              <w:right w:val="single" w:color="auto" w:sz="4" w:space="0"/>
            </w:tcBorders>
            <w:vAlign w:val="center"/>
          </w:tcPr>
          <w:p>
            <w:pPr>
              <w:spacing w:line="500" w:lineRule="atLeast"/>
              <w:jc w:val="left"/>
              <w:rPr>
                <w:rFonts w:ascii="宋体" w:hAnsi="宋体" w:eastAsia="宋体"/>
                <w:szCs w:val="21"/>
              </w:rPr>
            </w:pPr>
            <w:r>
              <w:rPr>
                <w:rFonts w:hint="eastAsia" w:ascii="宋体" w:hAnsi="宋体" w:eastAsia="宋体"/>
                <w:szCs w:val="21"/>
              </w:rPr>
              <w:t>学业奖学金</w:t>
            </w:r>
          </w:p>
        </w:tc>
        <w:tc>
          <w:tcPr>
            <w:tcW w:w="1155" w:type="dxa"/>
            <w:tcBorders>
              <w:top w:val="single" w:color="auto" w:sz="4" w:space="0"/>
              <w:left w:val="single" w:color="auto" w:sz="4" w:space="0"/>
              <w:bottom w:val="single" w:color="auto" w:sz="4" w:space="0"/>
              <w:right w:val="single" w:color="auto" w:sz="4" w:space="0"/>
            </w:tcBorders>
            <w:vAlign w:val="center"/>
          </w:tcPr>
          <w:p>
            <w:pPr>
              <w:spacing w:line="500" w:lineRule="atLeast"/>
              <w:jc w:val="left"/>
              <w:rPr>
                <w:rFonts w:ascii="宋体" w:hAnsi="宋体" w:eastAsia="宋体"/>
                <w:szCs w:val="21"/>
              </w:rPr>
            </w:pPr>
            <w:r>
              <w:rPr>
                <w:rFonts w:hint="eastAsia" w:ascii="宋体" w:hAnsi="宋体" w:eastAsia="宋体"/>
                <w:szCs w:val="21"/>
              </w:rPr>
              <w:t>一等奖</w:t>
            </w:r>
          </w:p>
        </w:tc>
        <w:tc>
          <w:tcPr>
            <w:tcW w:w="3300" w:type="dxa"/>
            <w:gridSpan w:val="2"/>
            <w:tcBorders>
              <w:top w:val="single" w:color="auto" w:sz="4" w:space="0"/>
              <w:left w:val="single" w:color="auto" w:sz="4" w:space="0"/>
              <w:bottom w:val="single" w:color="auto" w:sz="4" w:space="0"/>
              <w:right w:val="single" w:color="auto" w:sz="4" w:space="0"/>
            </w:tcBorders>
            <w:vAlign w:val="center"/>
          </w:tcPr>
          <w:p>
            <w:pPr>
              <w:spacing w:line="500" w:lineRule="atLeast"/>
              <w:jc w:val="left"/>
              <w:rPr>
                <w:rFonts w:ascii="宋体" w:hAnsi="宋体" w:eastAsia="宋体"/>
                <w:szCs w:val="21"/>
              </w:rPr>
            </w:pPr>
            <w:r>
              <w:rPr>
                <w:rFonts w:hint="eastAsia" w:ascii="宋体" w:hAnsi="宋体" w:eastAsia="宋体"/>
                <w:szCs w:val="21"/>
              </w:rPr>
              <w:t>1.2万元/生/年</w:t>
            </w:r>
          </w:p>
        </w:tc>
        <w:tc>
          <w:tcPr>
            <w:tcW w:w="2730" w:type="dxa"/>
            <w:tcBorders>
              <w:top w:val="single" w:color="auto" w:sz="4" w:space="0"/>
              <w:left w:val="single" w:color="auto" w:sz="4" w:space="0"/>
              <w:bottom w:val="single" w:color="auto" w:sz="4" w:space="0"/>
              <w:right w:val="single" w:color="auto" w:sz="8" w:space="0"/>
            </w:tcBorders>
            <w:vAlign w:val="center"/>
          </w:tcPr>
          <w:p>
            <w:pPr>
              <w:spacing w:line="500" w:lineRule="atLeast"/>
              <w:jc w:val="left"/>
              <w:rPr>
                <w:rFonts w:ascii="宋体" w:hAnsi="宋体" w:eastAsia="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Pr>
        <w:tc>
          <w:tcPr>
            <w:tcW w:w="1489" w:type="dxa"/>
            <w:vMerge w:val="continue"/>
            <w:tcBorders>
              <w:top w:val="single" w:color="auto" w:sz="4" w:space="0"/>
              <w:left w:val="single" w:color="auto" w:sz="8" w:space="0"/>
              <w:bottom w:val="single" w:color="auto" w:sz="4" w:space="0"/>
              <w:right w:val="single" w:color="auto" w:sz="4" w:space="0"/>
            </w:tcBorders>
            <w:vAlign w:val="center"/>
          </w:tcPr>
          <w:p>
            <w:pPr>
              <w:widowControl/>
              <w:spacing w:line="500" w:lineRule="atLeast"/>
              <w:jc w:val="left"/>
              <w:rPr>
                <w:rFonts w:ascii="宋体" w:hAnsi="宋体" w:eastAsia="宋体"/>
                <w:szCs w:val="21"/>
              </w:rPr>
            </w:pPr>
          </w:p>
        </w:tc>
        <w:tc>
          <w:tcPr>
            <w:tcW w:w="1155" w:type="dxa"/>
            <w:tcBorders>
              <w:top w:val="single" w:color="auto" w:sz="4" w:space="0"/>
              <w:left w:val="single" w:color="auto" w:sz="4" w:space="0"/>
              <w:bottom w:val="single" w:color="auto" w:sz="4" w:space="0"/>
              <w:right w:val="single" w:color="auto" w:sz="4" w:space="0"/>
            </w:tcBorders>
            <w:vAlign w:val="center"/>
          </w:tcPr>
          <w:p>
            <w:pPr>
              <w:spacing w:line="500" w:lineRule="atLeast"/>
              <w:jc w:val="left"/>
              <w:rPr>
                <w:rFonts w:ascii="宋体" w:hAnsi="宋体" w:eastAsia="宋体"/>
                <w:szCs w:val="21"/>
              </w:rPr>
            </w:pPr>
            <w:r>
              <w:rPr>
                <w:rFonts w:hint="eastAsia" w:ascii="宋体" w:hAnsi="宋体" w:eastAsia="宋体"/>
                <w:szCs w:val="21"/>
              </w:rPr>
              <w:t>二等奖</w:t>
            </w:r>
          </w:p>
        </w:tc>
        <w:tc>
          <w:tcPr>
            <w:tcW w:w="3300" w:type="dxa"/>
            <w:gridSpan w:val="2"/>
            <w:tcBorders>
              <w:top w:val="single" w:color="auto" w:sz="4" w:space="0"/>
              <w:left w:val="single" w:color="auto" w:sz="4" w:space="0"/>
              <w:bottom w:val="single" w:color="auto" w:sz="4" w:space="0"/>
              <w:right w:val="single" w:color="auto" w:sz="4" w:space="0"/>
            </w:tcBorders>
            <w:vAlign w:val="center"/>
          </w:tcPr>
          <w:p>
            <w:pPr>
              <w:spacing w:line="500" w:lineRule="atLeast"/>
              <w:jc w:val="left"/>
              <w:rPr>
                <w:rFonts w:ascii="宋体" w:hAnsi="宋体" w:eastAsia="宋体"/>
                <w:szCs w:val="21"/>
              </w:rPr>
            </w:pPr>
            <w:r>
              <w:rPr>
                <w:rFonts w:hint="eastAsia" w:ascii="宋体" w:hAnsi="宋体" w:eastAsia="宋体"/>
                <w:szCs w:val="21"/>
              </w:rPr>
              <w:t>0.8万元/生/年</w:t>
            </w:r>
          </w:p>
        </w:tc>
        <w:tc>
          <w:tcPr>
            <w:tcW w:w="2730" w:type="dxa"/>
            <w:tcBorders>
              <w:top w:val="single" w:color="auto" w:sz="4" w:space="0"/>
              <w:left w:val="single" w:color="auto" w:sz="4" w:space="0"/>
              <w:bottom w:val="single" w:color="auto" w:sz="4" w:space="0"/>
              <w:right w:val="single" w:color="auto" w:sz="8" w:space="0"/>
            </w:tcBorders>
            <w:vAlign w:val="center"/>
          </w:tcPr>
          <w:p>
            <w:pPr>
              <w:spacing w:line="500" w:lineRule="atLeast"/>
              <w:jc w:val="left"/>
              <w:rPr>
                <w:rFonts w:ascii="宋体" w:hAnsi="宋体" w:eastAsia="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Pr>
        <w:tc>
          <w:tcPr>
            <w:tcW w:w="1489" w:type="dxa"/>
            <w:vMerge w:val="continue"/>
            <w:tcBorders>
              <w:top w:val="single" w:color="auto" w:sz="4" w:space="0"/>
              <w:left w:val="single" w:color="auto" w:sz="8" w:space="0"/>
              <w:bottom w:val="single" w:color="auto" w:sz="4" w:space="0"/>
              <w:right w:val="single" w:color="auto" w:sz="4" w:space="0"/>
            </w:tcBorders>
            <w:vAlign w:val="center"/>
          </w:tcPr>
          <w:p>
            <w:pPr>
              <w:widowControl/>
              <w:spacing w:line="500" w:lineRule="atLeast"/>
              <w:jc w:val="left"/>
              <w:rPr>
                <w:rFonts w:ascii="宋体" w:hAnsi="宋体" w:eastAsia="宋体"/>
                <w:szCs w:val="21"/>
              </w:rPr>
            </w:pPr>
          </w:p>
        </w:tc>
        <w:tc>
          <w:tcPr>
            <w:tcW w:w="1155" w:type="dxa"/>
            <w:tcBorders>
              <w:top w:val="single" w:color="auto" w:sz="4" w:space="0"/>
              <w:left w:val="single" w:color="auto" w:sz="4" w:space="0"/>
              <w:bottom w:val="single" w:color="auto" w:sz="4" w:space="0"/>
              <w:right w:val="single" w:color="auto" w:sz="4" w:space="0"/>
            </w:tcBorders>
            <w:vAlign w:val="center"/>
          </w:tcPr>
          <w:p>
            <w:pPr>
              <w:spacing w:line="500" w:lineRule="atLeast"/>
              <w:jc w:val="left"/>
              <w:rPr>
                <w:rFonts w:ascii="宋体" w:hAnsi="宋体" w:eastAsia="宋体"/>
                <w:szCs w:val="21"/>
              </w:rPr>
            </w:pPr>
            <w:r>
              <w:rPr>
                <w:rFonts w:hint="eastAsia" w:ascii="宋体" w:hAnsi="宋体" w:eastAsia="宋体"/>
                <w:szCs w:val="21"/>
              </w:rPr>
              <w:t>三等奖</w:t>
            </w:r>
          </w:p>
        </w:tc>
        <w:tc>
          <w:tcPr>
            <w:tcW w:w="3300" w:type="dxa"/>
            <w:gridSpan w:val="2"/>
            <w:tcBorders>
              <w:top w:val="single" w:color="auto" w:sz="4" w:space="0"/>
              <w:left w:val="single" w:color="auto" w:sz="4" w:space="0"/>
              <w:bottom w:val="single" w:color="auto" w:sz="4" w:space="0"/>
              <w:right w:val="single" w:color="auto" w:sz="4" w:space="0"/>
            </w:tcBorders>
            <w:vAlign w:val="center"/>
          </w:tcPr>
          <w:p>
            <w:pPr>
              <w:spacing w:line="500" w:lineRule="atLeast"/>
              <w:jc w:val="left"/>
              <w:rPr>
                <w:rFonts w:ascii="宋体" w:hAnsi="宋体" w:eastAsia="宋体"/>
                <w:szCs w:val="21"/>
              </w:rPr>
            </w:pPr>
            <w:r>
              <w:rPr>
                <w:rFonts w:hint="eastAsia" w:ascii="宋体" w:hAnsi="宋体" w:eastAsia="宋体"/>
                <w:szCs w:val="21"/>
              </w:rPr>
              <w:t>0.5万元/生/年</w:t>
            </w:r>
          </w:p>
        </w:tc>
        <w:tc>
          <w:tcPr>
            <w:tcW w:w="2730" w:type="dxa"/>
            <w:tcBorders>
              <w:top w:val="single" w:color="auto" w:sz="4" w:space="0"/>
              <w:left w:val="single" w:color="auto" w:sz="4" w:space="0"/>
              <w:bottom w:val="single" w:color="auto" w:sz="4" w:space="0"/>
              <w:right w:val="single" w:color="auto" w:sz="8" w:space="0"/>
            </w:tcBorders>
            <w:vAlign w:val="center"/>
          </w:tcPr>
          <w:p>
            <w:pPr>
              <w:spacing w:line="500" w:lineRule="atLeast"/>
              <w:jc w:val="left"/>
              <w:rPr>
                <w:rFonts w:ascii="宋体" w:hAnsi="宋体" w:eastAsia="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489" w:type="dxa"/>
            <w:vMerge w:val="restart"/>
            <w:tcBorders>
              <w:top w:val="single" w:color="auto" w:sz="4" w:space="0"/>
              <w:left w:val="single" w:color="auto" w:sz="8" w:space="0"/>
              <w:bottom w:val="single" w:color="auto" w:sz="4" w:space="0"/>
              <w:right w:val="single" w:color="auto" w:sz="4" w:space="0"/>
            </w:tcBorders>
            <w:vAlign w:val="center"/>
          </w:tcPr>
          <w:p>
            <w:pPr>
              <w:spacing w:line="500" w:lineRule="atLeast"/>
              <w:jc w:val="left"/>
              <w:rPr>
                <w:rFonts w:ascii="宋体" w:hAnsi="宋体" w:eastAsia="宋体"/>
                <w:szCs w:val="21"/>
              </w:rPr>
            </w:pPr>
            <w:r>
              <w:rPr>
                <w:rFonts w:hint="eastAsia" w:ascii="宋体" w:hAnsi="宋体" w:eastAsia="宋体"/>
                <w:szCs w:val="21"/>
              </w:rPr>
              <w:t>“三助”岗位津贴</w:t>
            </w:r>
          </w:p>
        </w:tc>
        <w:tc>
          <w:tcPr>
            <w:tcW w:w="1155" w:type="dxa"/>
            <w:vMerge w:val="restart"/>
            <w:tcBorders>
              <w:top w:val="single" w:color="auto" w:sz="4" w:space="0"/>
              <w:left w:val="single" w:color="auto" w:sz="4" w:space="0"/>
              <w:bottom w:val="single" w:color="auto" w:sz="4" w:space="0"/>
              <w:right w:val="single" w:color="auto" w:sz="4" w:space="0"/>
            </w:tcBorders>
            <w:vAlign w:val="center"/>
          </w:tcPr>
          <w:p>
            <w:pPr>
              <w:spacing w:line="500" w:lineRule="atLeast"/>
              <w:jc w:val="left"/>
              <w:rPr>
                <w:rFonts w:ascii="宋体" w:hAnsi="宋体" w:eastAsia="宋体"/>
                <w:szCs w:val="21"/>
              </w:rPr>
            </w:pPr>
            <w:r>
              <w:rPr>
                <w:rFonts w:hint="eastAsia" w:ascii="宋体" w:hAnsi="宋体" w:eastAsia="宋体"/>
                <w:szCs w:val="21"/>
              </w:rPr>
              <w:t>无</w:t>
            </w:r>
          </w:p>
        </w:tc>
        <w:tc>
          <w:tcPr>
            <w:tcW w:w="1427" w:type="dxa"/>
            <w:tcBorders>
              <w:top w:val="single" w:color="auto" w:sz="4" w:space="0"/>
              <w:left w:val="single" w:color="auto" w:sz="4" w:space="0"/>
              <w:bottom w:val="single" w:color="auto" w:sz="4" w:space="0"/>
              <w:right w:val="single" w:color="auto" w:sz="4" w:space="0"/>
            </w:tcBorders>
            <w:vAlign w:val="center"/>
          </w:tcPr>
          <w:p>
            <w:pPr>
              <w:spacing w:line="500" w:lineRule="atLeast"/>
              <w:jc w:val="left"/>
              <w:rPr>
                <w:rFonts w:ascii="宋体" w:hAnsi="宋体" w:eastAsia="宋体"/>
                <w:szCs w:val="21"/>
              </w:rPr>
            </w:pPr>
            <w:r>
              <w:rPr>
                <w:rFonts w:hint="eastAsia" w:ascii="宋体" w:hAnsi="宋体" w:eastAsia="宋体"/>
                <w:szCs w:val="21"/>
              </w:rPr>
              <w:t>助研</w:t>
            </w:r>
          </w:p>
        </w:tc>
        <w:tc>
          <w:tcPr>
            <w:tcW w:w="1873" w:type="dxa"/>
            <w:tcBorders>
              <w:top w:val="single" w:color="auto" w:sz="4" w:space="0"/>
              <w:left w:val="single" w:color="auto" w:sz="4" w:space="0"/>
              <w:bottom w:val="single" w:color="auto" w:sz="4" w:space="0"/>
              <w:right w:val="single" w:color="auto" w:sz="4" w:space="0"/>
            </w:tcBorders>
            <w:vAlign w:val="center"/>
          </w:tcPr>
          <w:p>
            <w:pPr>
              <w:spacing w:line="500" w:lineRule="atLeast"/>
              <w:jc w:val="left"/>
              <w:rPr>
                <w:rFonts w:ascii="宋体" w:hAnsi="宋体" w:eastAsia="宋体"/>
                <w:szCs w:val="21"/>
              </w:rPr>
            </w:pPr>
            <w:r>
              <w:rPr>
                <w:rFonts w:hint="eastAsia" w:ascii="宋体" w:hAnsi="宋体" w:eastAsia="宋体"/>
                <w:szCs w:val="21"/>
              </w:rPr>
              <w:t>0.48万元/生/年</w:t>
            </w:r>
          </w:p>
        </w:tc>
        <w:tc>
          <w:tcPr>
            <w:tcW w:w="2730" w:type="dxa"/>
            <w:tcBorders>
              <w:top w:val="single" w:color="auto" w:sz="4" w:space="0"/>
              <w:left w:val="single" w:color="auto" w:sz="4" w:space="0"/>
              <w:bottom w:val="single" w:color="auto" w:sz="4" w:space="0"/>
              <w:right w:val="single" w:color="auto" w:sz="8" w:space="0"/>
            </w:tcBorders>
            <w:vAlign w:val="center"/>
          </w:tcPr>
          <w:p>
            <w:pPr>
              <w:spacing w:line="500" w:lineRule="atLeast"/>
              <w:jc w:val="left"/>
              <w:rPr>
                <w:rFonts w:ascii="宋体" w:hAnsi="宋体" w:eastAsia="宋体"/>
                <w:szCs w:val="21"/>
              </w:rPr>
            </w:pPr>
            <w:r>
              <w:rPr>
                <w:rFonts w:hint="eastAsia" w:ascii="宋体" w:hAnsi="宋体" w:eastAsia="宋体"/>
                <w:szCs w:val="21"/>
              </w:rPr>
              <w:t>由导师或聘用单位根据参与科研实践工作量发放酬金</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372" w:hRule="atLeast"/>
        </w:trPr>
        <w:tc>
          <w:tcPr>
            <w:tcW w:w="1489" w:type="dxa"/>
            <w:vMerge w:val="continue"/>
            <w:tcBorders>
              <w:top w:val="single" w:color="auto" w:sz="4" w:space="0"/>
              <w:left w:val="single" w:color="auto" w:sz="8" w:space="0"/>
              <w:bottom w:val="single" w:color="auto" w:sz="4" w:space="0"/>
              <w:right w:val="single" w:color="auto" w:sz="4" w:space="0"/>
            </w:tcBorders>
            <w:vAlign w:val="center"/>
          </w:tcPr>
          <w:p>
            <w:pPr>
              <w:widowControl/>
              <w:spacing w:line="500" w:lineRule="atLeast"/>
              <w:jc w:val="left"/>
              <w:rPr>
                <w:rFonts w:ascii="宋体" w:hAnsi="宋体" w:eastAsia="宋体"/>
                <w:szCs w:val="21"/>
              </w:rPr>
            </w:pPr>
          </w:p>
        </w:tc>
        <w:tc>
          <w:tcPr>
            <w:tcW w:w="115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00" w:lineRule="atLeast"/>
              <w:jc w:val="left"/>
              <w:rPr>
                <w:rFonts w:ascii="宋体" w:hAnsi="宋体" w:eastAsia="宋体"/>
                <w:szCs w:val="21"/>
              </w:rPr>
            </w:pPr>
          </w:p>
        </w:tc>
        <w:tc>
          <w:tcPr>
            <w:tcW w:w="1427" w:type="dxa"/>
            <w:tcBorders>
              <w:top w:val="single" w:color="auto" w:sz="4" w:space="0"/>
              <w:left w:val="single" w:color="auto" w:sz="4" w:space="0"/>
              <w:bottom w:val="single" w:color="auto" w:sz="4" w:space="0"/>
              <w:right w:val="single" w:color="auto" w:sz="4" w:space="0"/>
            </w:tcBorders>
            <w:vAlign w:val="center"/>
          </w:tcPr>
          <w:p>
            <w:pPr>
              <w:spacing w:line="500" w:lineRule="atLeast"/>
              <w:jc w:val="left"/>
              <w:rPr>
                <w:rFonts w:ascii="宋体" w:hAnsi="宋体" w:eastAsia="宋体"/>
                <w:szCs w:val="21"/>
              </w:rPr>
            </w:pPr>
            <w:r>
              <w:rPr>
                <w:rFonts w:hint="eastAsia" w:ascii="宋体" w:hAnsi="宋体" w:eastAsia="宋体"/>
                <w:szCs w:val="21"/>
              </w:rPr>
              <w:t>助教</w:t>
            </w:r>
          </w:p>
          <w:p>
            <w:pPr>
              <w:spacing w:line="500" w:lineRule="atLeast"/>
              <w:jc w:val="left"/>
              <w:rPr>
                <w:rFonts w:ascii="宋体" w:hAnsi="宋体" w:eastAsia="宋体"/>
                <w:szCs w:val="21"/>
              </w:rPr>
            </w:pPr>
            <w:r>
              <w:rPr>
                <w:rFonts w:hint="eastAsia" w:ascii="宋体" w:hAnsi="宋体" w:eastAsia="宋体"/>
                <w:szCs w:val="21"/>
              </w:rPr>
              <w:t>、</w:t>
            </w:r>
          </w:p>
          <w:p>
            <w:pPr>
              <w:spacing w:line="500" w:lineRule="atLeast"/>
              <w:jc w:val="left"/>
              <w:rPr>
                <w:rFonts w:ascii="宋体" w:hAnsi="宋体" w:eastAsia="宋体"/>
                <w:szCs w:val="21"/>
              </w:rPr>
            </w:pPr>
            <w:r>
              <w:rPr>
                <w:rFonts w:hint="eastAsia" w:ascii="宋体" w:hAnsi="宋体" w:eastAsia="宋体"/>
                <w:szCs w:val="21"/>
              </w:rPr>
              <w:t>助管</w:t>
            </w:r>
          </w:p>
        </w:tc>
        <w:tc>
          <w:tcPr>
            <w:tcW w:w="1873" w:type="dxa"/>
            <w:tcBorders>
              <w:top w:val="single" w:color="auto" w:sz="4" w:space="0"/>
              <w:left w:val="single" w:color="auto" w:sz="4" w:space="0"/>
              <w:bottom w:val="single" w:color="auto" w:sz="4" w:space="0"/>
              <w:right w:val="single" w:color="auto" w:sz="4" w:space="0"/>
            </w:tcBorders>
            <w:vAlign w:val="center"/>
          </w:tcPr>
          <w:p>
            <w:pPr>
              <w:spacing w:line="500" w:lineRule="atLeast"/>
              <w:jc w:val="left"/>
              <w:rPr>
                <w:rFonts w:ascii="宋体" w:hAnsi="宋体" w:eastAsia="宋体"/>
                <w:szCs w:val="21"/>
              </w:rPr>
            </w:pPr>
            <w:r>
              <w:rPr>
                <w:rFonts w:hint="eastAsia" w:ascii="宋体" w:hAnsi="宋体" w:eastAsia="宋体"/>
                <w:szCs w:val="21"/>
              </w:rPr>
              <w:t>助管岗位按10元/小时标准，据实结算；助教岗位按实际教学工作量和所在学院酬金标准，据实发放。</w:t>
            </w:r>
          </w:p>
        </w:tc>
        <w:tc>
          <w:tcPr>
            <w:tcW w:w="2730" w:type="dxa"/>
            <w:tcBorders>
              <w:top w:val="single" w:color="auto" w:sz="4" w:space="0"/>
              <w:left w:val="single" w:color="auto" w:sz="4" w:space="0"/>
              <w:bottom w:val="single" w:color="auto" w:sz="4" w:space="0"/>
              <w:right w:val="single" w:color="auto" w:sz="8" w:space="0"/>
            </w:tcBorders>
            <w:vAlign w:val="center"/>
          </w:tcPr>
          <w:p>
            <w:pPr>
              <w:spacing w:line="500" w:lineRule="atLeast"/>
              <w:jc w:val="left"/>
              <w:rPr>
                <w:rFonts w:ascii="宋体" w:hAnsi="宋体" w:eastAsia="宋体"/>
                <w:szCs w:val="21"/>
              </w:rPr>
            </w:pPr>
            <w:r>
              <w:rPr>
                <w:rFonts w:hint="eastAsia" w:ascii="宋体" w:hAnsi="宋体" w:eastAsia="宋体"/>
                <w:szCs w:val="21"/>
              </w:rPr>
              <w:t>由聘用单位根据工作量发放津贴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1489" w:type="dxa"/>
            <w:tcBorders>
              <w:top w:val="single" w:color="auto" w:sz="4" w:space="0"/>
              <w:left w:val="single" w:color="auto" w:sz="8" w:space="0"/>
              <w:bottom w:val="single" w:color="auto" w:sz="4" w:space="0"/>
              <w:right w:val="single" w:color="auto" w:sz="4" w:space="0"/>
            </w:tcBorders>
            <w:vAlign w:val="center"/>
          </w:tcPr>
          <w:p>
            <w:pPr>
              <w:pStyle w:val="8"/>
              <w:spacing w:before="0" w:beforeAutospacing="0" w:after="0" w:afterAutospacing="0" w:line="500" w:lineRule="atLeast"/>
              <w:rPr>
                <w:rFonts w:cs="Times New Roman"/>
                <w:kern w:val="2"/>
                <w:sz w:val="21"/>
                <w:szCs w:val="21"/>
              </w:rPr>
            </w:pPr>
            <w:r>
              <w:rPr>
                <w:rFonts w:hint="eastAsia" w:cs="Times New Roman"/>
                <w:kern w:val="2"/>
                <w:sz w:val="21"/>
                <w:szCs w:val="21"/>
              </w:rPr>
              <w:t>严家显最高奖学金</w:t>
            </w:r>
          </w:p>
        </w:tc>
        <w:tc>
          <w:tcPr>
            <w:tcW w:w="1155" w:type="dxa"/>
            <w:tcBorders>
              <w:top w:val="single" w:color="auto" w:sz="4" w:space="0"/>
              <w:left w:val="single" w:color="auto" w:sz="4" w:space="0"/>
              <w:bottom w:val="single" w:color="auto" w:sz="4" w:space="0"/>
              <w:right w:val="single" w:color="auto" w:sz="4" w:space="0"/>
            </w:tcBorders>
            <w:vAlign w:val="center"/>
          </w:tcPr>
          <w:p>
            <w:pPr>
              <w:spacing w:line="500" w:lineRule="atLeast"/>
              <w:jc w:val="left"/>
              <w:rPr>
                <w:rFonts w:ascii="宋体" w:hAnsi="宋体" w:eastAsia="宋体"/>
                <w:szCs w:val="21"/>
              </w:rPr>
            </w:pPr>
            <w:r>
              <w:rPr>
                <w:rFonts w:hint="eastAsia" w:ascii="宋体" w:hAnsi="宋体" w:eastAsia="宋体"/>
                <w:szCs w:val="21"/>
              </w:rPr>
              <w:t>无</w:t>
            </w:r>
          </w:p>
        </w:tc>
        <w:tc>
          <w:tcPr>
            <w:tcW w:w="3300" w:type="dxa"/>
            <w:gridSpan w:val="2"/>
            <w:tcBorders>
              <w:top w:val="single" w:color="auto" w:sz="4" w:space="0"/>
              <w:left w:val="single" w:color="auto" w:sz="4" w:space="0"/>
              <w:right w:val="single" w:color="auto" w:sz="4" w:space="0"/>
            </w:tcBorders>
            <w:vAlign w:val="center"/>
          </w:tcPr>
          <w:p>
            <w:pPr>
              <w:spacing w:line="500" w:lineRule="atLeast"/>
              <w:jc w:val="left"/>
              <w:rPr>
                <w:rFonts w:ascii="宋体" w:hAnsi="宋体" w:eastAsia="宋体"/>
                <w:szCs w:val="21"/>
              </w:rPr>
            </w:pPr>
            <w:r>
              <w:rPr>
                <w:rFonts w:hint="eastAsia" w:ascii="宋体" w:hAnsi="宋体" w:eastAsia="宋体"/>
                <w:szCs w:val="21"/>
              </w:rPr>
              <w:t>2万/年</w:t>
            </w:r>
          </w:p>
        </w:tc>
        <w:tc>
          <w:tcPr>
            <w:tcW w:w="2730" w:type="dxa"/>
            <w:tcBorders>
              <w:top w:val="single" w:color="auto" w:sz="4" w:space="0"/>
              <w:left w:val="single" w:color="auto" w:sz="4" w:space="0"/>
              <w:right w:val="single" w:color="auto" w:sz="8" w:space="0"/>
            </w:tcBorders>
            <w:vAlign w:val="center"/>
          </w:tcPr>
          <w:p>
            <w:pPr>
              <w:spacing w:line="500" w:lineRule="atLeast"/>
              <w:jc w:val="left"/>
              <w:rPr>
                <w:rFonts w:ascii="宋体" w:hAnsi="宋体" w:eastAsia="宋体"/>
                <w:szCs w:val="21"/>
              </w:rPr>
            </w:pPr>
            <w:r>
              <w:rPr>
                <w:rFonts w:hint="eastAsia" w:ascii="宋体" w:hAnsi="宋体" w:eastAsia="宋体"/>
                <w:szCs w:val="21"/>
              </w:rPr>
              <w:t>品学兼优研究生,全校每年10名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96" w:hRule="atLeast"/>
        </w:trPr>
        <w:tc>
          <w:tcPr>
            <w:tcW w:w="1489" w:type="dxa"/>
            <w:tcBorders>
              <w:top w:val="single" w:color="auto" w:sz="4" w:space="0"/>
              <w:left w:val="single" w:color="auto" w:sz="8" w:space="0"/>
              <w:bottom w:val="single" w:color="auto" w:sz="8" w:space="0"/>
              <w:right w:val="single" w:color="auto" w:sz="4" w:space="0"/>
            </w:tcBorders>
            <w:vAlign w:val="center"/>
          </w:tcPr>
          <w:p>
            <w:pPr>
              <w:pStyle w:val="8"/>
              <w:spacing w:before="0" w:beforeAutospacing="0" w:after="0" w:afterAutospacing="0" w:line="500" w:lineRule="atLeast"/>
              <w:rPr>
                <w:rFonts w:cs="Times New Roman"/>
                <w:kern w:val="2"/>
                <w:sz w:val="21"/>
                <w:szCs w:val="21"/>
              </w:rPr>
            </w:pPr>
            <w:r>
              <w:rPr>
                <w:rFonts w:hint="eastAsia" w:cs="Times New Roman"/>
                <w:kern w:val="2"/>
                <w:sz w:val="21"/>
                <w:szCs w:val="21"/>
              </w:rPr>
              <w:t>国家助学贷款</w:t>
            </w:r>
          </w:p>
        </w:tc>
        <w:tc>
          <w:tcPr>
            <w:tcW w:w="1155" w:type="dxa"/>
            <w:tcBorders>
              <w:top w:val="single" w:color="auto" w:sz="4" w:space="0"/>
              <w:left w:val="single" w:color="auto" w:sz="4" w:space="0"/>
              <w:bottom w:val="single" w:color="auto" w:sz="8" w:space="0"/>
              <w:right w:val="single" w:color="auto" w:sz="4" w:space="0"/>
            </w:tcBorders>
            <w:vAlign w:val="center"/>
          </w:tcPr>
          <w:p>
            <w:pPr>
              <w:spacing w:line="500" w:lineRule="atLeast"/>
              <w:jc w:val="left"/>
              <w:rPr>
                <w:rFonts w:ascii="宋体" w:hAnsi="宋体" w:eastAsia="宋体"/>
                <w:sz w:val="24"/>
              </w:rPr>
            </w:pPr>
            <w:r>
              <w:rPr>
                <w:rFonts w:hint="eastAsia" w:ascii="宋体" w:hAnsi="宋体" w:eastAsia="宋体"/>
                <w:sz w:val="24"/>
              </w:rPr>
              <w:t>无</w:t>
            </w:r>
          </w:p>
        </w:tc>
        <w:tc>
          <w:tcPr>
            <w:tcW w:w="3300" w:type="dxa"/>
            <w:gridSpan w:val="2"/>
            <w:tcBorders>
              <w:top w:val="single" w:color="auto" w:sz="4" w:space="0"/>
              <w:left w:val="single" w:color="auto" w:sz="4" w:space="0"/>
              <w:bottom w:val="single" w:color="auto" w:sz="8" w:space="0"/>
              <w:right w:val="single" w:color="auto" w:sz="4" w:space="0"/>
            </w:tcBorders>
            <w:vAlign w:val="center"/>
          </w:tcPr>
          <w:p>
            <w:pPr>
              <w:spacing w:line="500" w:lineRule="atLeast"/>
              <w:jc w:val="left"/>
              <w:rPr>
                <w:rFonts w:ascii="宋体" w:hAnsi="宋体" w:eastAsia="宋体"/>
                <w:sz w:val="24"/>
              </w:rPr>
            </w:pPr>
            <w:r>
              <w:rPr>
                <w:rFonts w:hint="eastAsia" w:ascii="宋体" w:hAnsi="宋体" w:eastAsia="宋体"/>
                <w:sz w:val="24"/>
              </w:rPr>
              <w:t>贷款金额不超过年度学费和住宿费标准的总和</w:t>
            </w:r>
          </w:p>
        </w:tc>
        <w:tc>
          <w:tcPr>
            <w:tcW w:w="2730" w:type="dxa"/>
            <w:tcBorders>
              <w:top w:val="single" w:color="auto" w:sz="4" w:space="0"/>
              <w:left w:val="single" w:color="auto" w:sz="4" w:space="0"/>
              <w:bottom w:val="single" w:color="auto" w:sz="8" w:space="0"/>
              <w:right w:val="single" w:color="auto" w:sz="8" w:space="0"/>
            </w:tcBorders>
            <w:vAlign w:val="center"/>
          </w:tcPr>
          <w:p>
            <w:pPr>
              <w:spacing w:line="500" w:lineRule="atLeast"/>
              <w:jc w:val="left"/>
              <w:rPr>
                <w:rFonts w:ascii="宋体" w:hAnsi="宋体" w:eastAsia="宋体"/>
                <w:sz w:val="24"/>
              </w:rPr>
            </w:pPr>
            <w:r>
              <w:rPr>
                <w:rFonts w:hint="eastAsia" w:ascii="宋体" w:hAnsi="宋体" w:eastAsia="宋体"/>
                <w:sz w:val="24"/>
              </w:rPr>
              <w:t>符合国家助学贷款条件的所有研究生</w:t>
            </w:r>
          </w:p>
        </w:tc>
      </w:tr>
    </w:tbl>
    <w:p>
      <w:pPr>
        <w:pStyle w:val="15"/>
        <w:snapToGrid w:val="0"/>
        <w:spacing w:line="500" w:lineRule="atLeast"/>
        <w:ind w:firstLine="480"/>
        <w:rPr>
          <w:rFonts w:ascii="宋体" w:hAnsi="宋体" w:cs="Times"/>
          <w:sz w:val="24"/>
          <w:szCs w:val="24"/>
        </w:rPr>
      </w:pPr>
    </w:p>
    <w:p>
      <w:pPr>
        <w:pStyle w:val="16"/>
        <w:spacing w:line="500" w:lineRule="atLeast"/>
        <w:ind w:firstLine="640"/>
        <w:rPr>
          <w:rFonts w:ascii="仿宋" w:hAnsi="仿宋" w:eastAsia="仿宋" w:cs="仿宋"/>
          <w:sz w:val="32"/>
          <w:szCs w:val="32"/>
        </w:rPr>
      </w:pPr>
      <w:r>
        <w:rPr>
          <w:rFonts w:hint="eastAsia" w:ascii="仿宋" w:hAnsi="仿宋" w:eastAsia="仿宋" w:cs="仿宋"/>
          <w:sz w:val="32"/>
          <w:szCs w:val="32"/>
        </w:rPr>
        <w:t>6.管理服务</w:t>
      </w:r>
    </w:p>
    <w:p>
      <w:pPr>
        <w:pStyle w:val="15"/>
        <w:snapToGrid w:val="0"/>
        <w:spacing w:line="500" w:lineRule="atLeast"/>
        <w:ind w:firstLine="482"/>
        <w:rPr>
          <w:rFonts w:ascii="宋体" w:hAnsi="宋体" w:cs="Times"/>
          <w:sz w:val="24"/>
          <w:szCs w:val="24"/>
        </w:rPr>
      </w:pPr>
      <w:r>
        <w:rPr>
          <w:rFonts w:hint="eastAsia" w:ascii="宋体" w:hAnsi="宋体" w:cs="Times"/>
          <w:b/>
          <w:bCs/>
          <w:sz w:val="24"/>
          <w:szCs w:val="24"/>
        </w:rPr>
        <w:t>（1）学院有比较完善的学位点管理机构和管理人员的配备。</w:t>
      </w:r>
      <w:r>
        <w:rPr>
          <w:rFonts w:hint="eastAsia" w:ascii="宋体" w:hAnsi="宋体" w:cs="Times"/>
          <w:sz w:val="24"/>
          <w:szCs w:val="24"/>
        </w:rPr>
        <w:t>设有负责管理研究生教育的副院长1人，专职的研究生教务秘书和研究生教务员、研究生辅导员各1人。各学位点还确立了学科负责人和学科秘书。</w:t>
      </w:r>
    </w:p>
    <w:p>
      <w:pPr>
        <w:pStyle w:val="15"/>
        <w:snapToGrid w:val="0"/>
        <w:spacing w:line="500" w:lineRule="atLeast"/>
        <w:ind w:firstLine="482"/>
        <w:rPr>
          <w:rFonts w:ascii="宋体" w:hAnsi="宋体" w:cs="Times"/>
          <w:sz w:val="24"/>
          <w:szCs w:val="24"/>
        </w:rPr>
      </w:pPr>
      <w:r>
        <w:rPr>
          <w:rFonts w:hint="eastAsia" w:ascii="宋体" w:hAnsi="宋体" w:cs="Times"/>
          <w:b/>
          <w:bCs/>
          <w:sz w:val="24"/>
          <w:szCs w:val="24"/>
        </w:rPr>
        <w:t>（2）相关管理制度完善、管理工作规范。</w:t>
      </w:r>
      <w:r>
        <w:rPr>
          <w:rFonts w:hint="eastAsia" w:ascii="宋体" w:hAnsi="宋体" w:cs="Times"/>
          <w:sz w:val="24"/>
          <w:szCs w:val="24"/>
        </w:rPr>
        <w:t>学位点组织管理有基本的管理制度，明确了各管理人员工作任务和职责，学籍、培养方案、教学大纲、试卷、答辩、教学质量评估、实践、论文开题报告、论文答辩记录等管理基本有序规范。</w:t>
      </w:r>
    </w:p>
    <w:p>
      <w:pPr>
        <w:pStyle w:val="15"/>
        <w:snapToGrid w:val="0"/>
        <w:spacing w:line="500" w:lineRule="atLeast"/>
        <w:ind w:firstLine="482"/>
        <w:rPr>
          <w:rFonts w:ascii="宋体" w:hAnsi="宋体" w:cs="宋体"/>
          <w:sz w:val="24"/>
          <w:szCs w:val="24"/>
        </w:rPr>
      </w:pPr>
      <w:r>
        <w:rPr>
          <w:rFonts w:hint="eastAsia" w:ascii="宋体" w:hAnsi="宋体" w:cs="Times"/>
          <w:b/>
          <w:bCs/>
          <w:sz w:val="24"/>
          <w:szCs w:val="24"/>
        </w:rPr>
        <w:t>（3）初步建立了研究生管理评价反馈制度，保障研究生权益。</w:t>
      </w:r>
      <w:r>
        <w:rPr>
          <w:rFonts w:hint="eastAsia" w:ascii="宋体" w:hAnsi="宋体" w:cs="Times"/>
          <w:sz w:val="24"/>
          <w:szCs w:val="24"/>
        </w:rPr>
        <w:t>每年不定期召开2-3次研究生座谈会，听取研究生对学院研究生教学、</w:t>
      </w:r>
      <w:r>
        <w:rPr>
          <w:rFonts w:hint="eastAsia" w:ascii="宋体" w:hAnsi="宋体" w:cs="宋体"/>
          <w:sz w:val="24"/>
          <w:szCs w:val="24"/>
        </w:rPr>
        <w:t>管理环节问题的意见，并以问题为导向，改进研究生教育的管理工作。</w:t>
      </w:r>
    </w:p>
    <w:p>
      <w:pPr>
        <w:spacing w:line="500" w:lineRule="atLeast"/>
        <w:rPr>
          <w:rFonts w:ascii="楷体" w:hAnsi="楷体" w:eastAsia="楷体" w:cs="楷体"/>
          <w:sz w:val="32"/>
          <w:szCs w:val="32"/>
        </w:rPr>
      </w:pPr>
      <w:r>
        <w:rPr>
          <w:rFonts w:hint="eastAsia" w:ascii="楷体" w:hAnsi="楷体" w:eastAsia="楷体" w:cs="楷体"/>
          <w:sz w:val="32"/>
          <w:szCs w:val="32"/>
        </w:rPr>
        <w:t>（三）、人才培养</w:t>
      </w:r>
    </w:p>
    <w:p>
      <w:pPr>
        <w:pStyle w:val="16"/>
        <w:spacing w:line="500" w:lineRule="atLeast"/>
        <w:ind w:firstLine="640"/>
        <w:rPr>
          <w:rFonts w:ascii="仿宋" w:hAnsi="仿宋" w:eastAsia="仿宋" w:cs="仿宋"/>
          <w:sz w:val="32"/>
          <w:szCs w:val="32"/>
        </w:rPr>
      </w:pPr>
      <w:r>
        <w:rPr>
          <w:rFonts w:hint="eastAsia" w:ascii="仿宋" w:hAnsi="仿宋" w:eastAsia="仿宋" w:cs="仿宋"/>
          <w:sz w:val="32"/>
          <w:szCs w:val="32"/>
        </w:rPr>
        <w:t>1.思想政治教育</w:t>
      </w:r>
    </w:p>
    <w:p>
      <w:pPr>
        <w:spacing w:line="500" w:lineRule="atLeast"/>
        <w:ind w:firstLine="482" w:firstLineChars="200"/>
        <w:rPr>
          <w:rFonts w:ascii="宋体" w:hAnsi="宋体" w:eastAsia="宋体"/>
          <w:sz w:val="24"/>
        </w:rPr>
      </w:pPr>
      <w:r>
        <w:rPr>
          <w:rFonts w:hint="eastAsia" w:ascii="宋体" w:hAnsi="宋体" w:eastAsia="宋体"/>
          <w:b/>
          <w:bCs/>
          <w:sz w:val="24"/>
        </w:rPr>
        <w:t>积极开展课程思政改革。</w:t>
      </w:r>
      <w:r>
        <w:rPr>
          <w:rFonts w:hint="eastAsia" w:ascii="宋体" w:hAnsi="宋体" w:eastAsia="宋体"/>
          <w:sz w:val="24"/>
        </w:rPr>
        <w:t>充分发挥学校获得全国文明校园、全国生态文明教育基地、全国绿化模范单位等综合优势，推动“三全”育人。加强师德师风教育，以课程思政研究、改革与实践为抓手，激发学生对国家及区域发展战略的认知与认同，培养建设21世纪海上丝绸之路核心区和“懂农业爱农村爱农民”（“一懂两爱”）乡村振兴战略人才。</w:t>
      </w:r>
    </w:p>
    <w:p>
      <w:pPr>
        <w:spacing w:line="500" w:lineRule="atLeast"/>
        <w:ind w:firstLine="482" w:firstLineChars="200"/>
        <w:rPr>
          <w:rFonts w:ascii="宋体" w:hAnsi="宋体" w:eastAsia="宋体"/>
          <w:sz w:val="24"/>
        </w:rPr>
      </w:pPr>
      <w:r>
        <w:rPr>
          <w:rFonts w:hint="eastAsia" w:ascii="宋体" w:hAnsi="宋体" w:eastAsia="宋体"/>
          <w:b/>
          <w:bCs/>
          <w:sz w:val="24"/>
        </w:rPr>
        <w:t>注重社会实践开展及创新。</w:t>
      </w:r>
      <w:r>
        <w:rPr>
          <w:rFonts w:hint="eastAsia" w:ascii="宋体" w:hAnsi="宋体" w:eastAsia="宋体"/>
          <w:sz w:val="24"/>
        </w:rPr>
        <w:t>育人目标破“五唯”：学生定点联系福建省内1-2个典型村庄，践行“将论文写在大地上”：每个季度编辑一期《乡村振兴季刊》，刊发国际国内相关乡村发展理论和政策动态；完成一个村庄的历史梳理，出版一本村史。跨校园边界育人：与中国人民大学、西南大学等共享科研资源，为学生提供每年数次的省内外调研机会。以“校地”、“校企”、“校政”合作建设的方式，形成多样化的户外互动课堂学习研究体系。夯实体育、美育和劳育工作：举办“趣味运动会”等特色体育活动，促进学生身心健康；开展“高雅艺术进校园”、“礼仪培训”、“电影周”等校园文化活动，浸润心性、提升美育素养；秉承农林大学“农为邦本”、“深耕易耨”的优良传统，提升劳育实效。</w:t>
      </w:r>
    </w:p>
    <w:p>
      <w:pPr>
        <w:spacing w:line="500" w:lineRule="atLeast"/>
        <w:ind w:firstLine="482" w:firstLineChars="200"/>
        <w:rPr>
          <w:rFonts w:ascii="宋体" w:hAnsi="宋体" w:eastAsia="宋体"/>
          <w:sz w:val="24"/>
        </w:rPr>
      </w:pPr>
      <w:r>
        <w:rPr>
          <w:rFonts w:hint="eastAsia" w:ascii="宋体" w:hAnsi="宋体" w:eastAsia="宋体"/>
          <w:b/>
          <w:bCs/>
          <w:sz w:val="24"/>
        </w:rPr>
        <w:t>突出意识形态阵地管理。</w:t>
      </w:r>
      <w:r>
        <w:rPr>
          <w:rFonts w:hint="eastAsia" w:ascii="宋体" w:hAnsi="宋体" w:eastAsia="宋体"/>
          <w:sz w:val="24"/>
        </w:rPr>
        <w:t>牢牢把握意识形态阵地的主导权和话语权，紧扣“课内、课外”两个阵地，构建意识形态工作机制。探索组建以导师为组长的本硕博阶梯式“同群互助”成长计划，开展先进人物引领教育活动，大力推进新时代爱国主义教育。严格落实领导干部上思政课制度，积极参与“课程思政”与“思政课程”教学设计工作坊建设，形成意识形态阵地管理的协同效应。</w:t>
      </w:r>
    </w:p>
    <w:p>
      <w:pPr>
        <w:spacing w:line="500" w:lineRule="atLeast"/>
        <w:ind w:firstLine="482" w:firstLineChars="200"/>
        <w:rPr>
          <w:rFonts w:ascii="宋体" w:hAnsi="宋体" w:eastAsia="宋体"/>
          <w:sz w:val="24"/>
        </w:rPr>
      </w:pPr>
      <w:r>
        <w:rPr>
          <w:rFonts w:hint="eastAsia" w:ascii="宋体" w:hAnsi="宋体" w:eastAsia="宋体"/>
          <w:b/>
          <w:bCs/>
          <w:sz w:val="24"/>
        </w:rPr>
        <w:t>夯实基层党组织建设。</w:t>
      </w:r>
      <w:r>
        <w:rPr>
          <w:rFonts w:hint="eastAsia" w:ascii="宋体" w:hAnsi="宋体" w:eastAsia="宋体"/>
          <w:sz w:val="24"/>
        </w:rPr>
        <w:t>以“两学一做”学习教育、“不忘初心、牢记使命”主题教育等为抓手深入学习贯彻习近平总书记关于教育重要论述和有关指示、批示精神。扎实推进“双带头人”培育工作，教师党支部书记“双带头人”比例达到100%。落实“三会一课”制度，广泛开展主题党日活动，党支部制定负面清单全覆盖。举办教工党支部书记等各类专题培训，不断提升党支部书记的理论政策水平和履职能力。组织开展发展党员工作检查，推进发展党员工作规范化、制度化、科学化。</w:t>
      </w:r>
    </w:p>
    <w:p>
      <w:pPr>
        <w:spacing w:line="500" w:lineRule="atLeast"/>
        <w:ind w:firstLine="482" w:firstLineChars="200"/>
        <w:rPr>
          <w:rFonts w:ascii="宋体" w:hAnsi="宋体" w:eastAsia="宋体"/>
          <w:sz w:val="24"/>
        </w:rPr>
      </w:pPr>
      <w:r>
        <w:rPr>
          <w:rFonts w:hint="eastAsia" w:ascii="宋体" w:hAnsi="宋体" w:eastAsia="宋体"/>
          <w:b/>
          <w:bCs/>
          <w:sz w:val="24"/>
        </w:rPr>
        <w:t>强化思政队伍建设。</w:t>
      </w:r>
      <w:r>
        <w:rPr>
          <w:rFonts w:hint="eastAsia" w:ascii="宋体" w:hAnsi="宋体" w:eastAsia="宋体"/>
          <w:sz w:val="24"/>
        </w:rPr>
        <w:t>在着力加强队专职思政队伍配备、优化队伍结构的同时，贯通教师、学生家庭、学校、社会五大育人主体的全过程链接。大学生正处在三观养成阶段，专业老师传授的不只是知识更是生命的境界，关注学生的“身心灵”全面发展。通过班主任“五个一”工作制度深入了解学生家庭背景和心理需求。青年人需要成长榜样，通过“实践者进课堂”、“校外导师”等途径打通不同领域的优势育人资源，促使学生在生命与生命的联结当中获得更大的成长。</w:t>
      </w:r>
    </w:p>
    <w:p>
      <w:pPr>
        <w:pStyle w:val="16"/>
        <w:spacing w:line="500" w:lineRule="atLeast"/>
        <w:ind w:firstLine="640"/>
        <w:rPr>
          <w:rFonts w:ascii="仿宋" w:hAnsi="仿宋" w:eastAsia="仿宋" w:cs="仿宋"/>
          <w:sz w:val="32"/>
          <w:szCs w:val="32"/>
        </w:rPr>
      </w:pPr>
      <w:r>
        <w:rPr>
          <w:rFonts w:hint="eastAsia" w:ascii="仿宋" w:hAnsi="仿宋" w:eastAsia="仿宋" w:cs="仿宋"/>
          <w:sz w:val="32"/>
          <w:szCs w:val="32"/>
        </w:rPr>
        <w:t>2.师德师风建设</w:t>
      </w:r>
    </w:p>
    <w:p>
      <w:pPr>
        <w:spacing w:line="500" w:lineRule="atLeast"/>
        <w:ind w:firstLine="425"/>
        <w:rPr>
          <w:rFonts w:ascii="宋体" w:hAnsi="宋体" w:eastAsia="宋体"/>
          <w:sz w:val="24"/>
        </w:rPr>
      </w:pPr>
      <w:r>
        <w:rPr>
          <w:rFonts w:hint="eastAsia" w:ascii="宋体" w:hAnsi="宋体" w:eastAsia="宋体"/>
          <w:sz w:val="24"/>
        </w:rPr>
        <w:t>本学位点始终将加强师德师风建设作为学科建设的重要工作，把立德树人的成效作为检验学科建设工作的根本标准，把师德师风作为评价师资队伍素质的第一标准。</w:t>
      </w:r>
    </w:p>
    <w:p>
      <w:pPr>
        <w:spacing w:line="500" w:lineRule="atLeast"/>
        <w:ind w:firstLine="482" w:firstLineChars="200"/>
        <w:rPr>
          <w:rFonts w:ascii="宋体" w:hAnsi="宋体" w:eastAsia="宋体"/>
          <w:sz w:val="24"/>
        </w:rPr>
      </w:pPr>
      <w:r>
        <w:rPr>
          <w:rFonts w:hint="eastAsia" w:ascii="宋体" w:hAnsi="宋体" w:eastAsia="宋体"/>
          <w:b/>
          <w:bCs/>
          <w:sz w:val="24"/>
        </w:rPr>
        <w:t>坚持党建引领，充分发挥教师党支部和党员教师作用。</w:t>
      </w:r>
      <w:r>
        <w:rPr>
          <w:rFonts w:hint="eastAsia" w:ascii="宋体" w:hAnsi="宋体" w:eastAsia="宋体"/>
          <w:sz w:val="24"/>
        </w:rPr>
        <w:t>建强教师党支部，使教师党支部成为涵养师德师风的重要平台。建好党员教师队伍，使党员教师成为践行高尚师德的中坚力量。党员导师要以身垂范，模范遵守教师职业道德规范，为人师表，爱岗敬业，以高尚的情操和人格魅力感染、引导学生；谨遵学术规范，恪守学术道德，自觉维护公平正义和风清气正的学术环境；有仁爱之心以德育人。</w:t>
      </w:r>
    </w:p>
    <w:p>
      <w:pPr>
        <w:spacing w:line="500" w:lineRule="atLeast"/>
        <w:ind w:firstLine="482" w:firstLineChars="200"/>
        <w:rPr>
          <w:rFonts w:ascii="宋体" w:hAnsi="宋体" w:eastAsia="宋体"/>
          <w:sz w:val="24"/>
        </w:rPr>
      </w:pPr>
      <w:r>
        <w:rPr>
          <w:rFonts w:hint="eastAsia" w:ascii="宋体" w:hAnsi="宋体" w:eastAsia="宋体"/>
          <w:b/>
          <w:bCs/>
          <w:sz w:val="24"/>
        </w:rPr>
        <w:t>加强师德师风教育，持续开展师德师风教育活动。</w:t>
      </w:r>
      <w:r>
        <w:rPr>
          <w:rFonts w:hint="eastAsia" w:ascii="宋体" w:hAnsi="宋体" w:eastAsia="宋体"/>
          <w:sz w:val="24"/>
        </w:rPr>
        <w:t>组织教师认真学习《中共中央、国务院关于全面深化新时代教师队伍建设改革的意见》、《教育部关于全面落实研究生导师立德树人职责的意见》、《关于加强和改进新时代师德师风建设的意见》、《新时代高校教师职业行为十项准则》以及《福建农林大学学术不端行为查处细则（试行）》、《福建农林大学全面落实研究生导师立德树人职责实施细则》、《福建农林大学研究生教育教学督导工作细则》等文件，使教师明确职业道德规范、坚守从教从业底线、自觉规范从教行为。</w:t>
      </w:r>
    </w:p>
    <w:p>
      <w:pPr>
        <w:spacing w:line="500" w:lineRule="atLeast"/>
        <w:ind w:firstLine="482" w:firstLineChars="200"/>
        <w:rPr>
          <w:rFonts w:ascii="宋体" w:hAnsi="宋体" w:eastAsia="宋体"/>
          <w:sz w:val="24"/>
        </w:rPr>
      </w:pPr>
      <w:r>
        <w:rPr>
          <w:rFonts w:hint="eastAsia" w:ascii="宋体" w:hAnsi="宋体" w:eastAsia="宋体"/>
          <w:b/>
          <w:bCs/>
          <w:sz w:val="24"/>
        </w:rPr>
        <w:t>引导教师全方位融入思想政治教育，在教育教学中提升师德素养。</w:t>
      </w:r>
      <w:r>
        <w:rPr>
          <w:rFonts w:hint="eastAsia" w:ascii="宋体" w:hAnsi="宋体" w:eastAsia="宋体"/>
          <w:sz w:val="24"/>
        </w:rPr>
        <w:t>结合“课程思政”教育改革活动，要求教师以立德为根本、树人为核心，把立德树人内化到研究生教育全过程，坚持将科学道德和学风教育融入研究生培养各环节。把师德教育贯穿于教师职前培养和职后培训全过程；把师德师风作为教师评价的第一标准，实行一票否决；加强师德师风监察监督，体现奖优罚劣；建立教师个人信用记录，着力解决师德失范、学术不端等问题。</w:t>
      </w:r>
    </w:p>
    <w:p>
      <w:pPr>
        <w:spacing w:line="500" w:lineRule="atLeast"/>
        <w:ind w:firstLine="482" w:firstLineChars="200"/>
        <w:rPr>
          <w:rFonts w:ascii="宋体" w:hAnsi="宋体" w:eastAsia="宋体"/>
          <w:sz w:val="24"/>
        </w:rPr>
      </w:pPr>
      <w:r>
        <w:rPr>
          <w:rFonts w:hint="eastAsia" w:ascii="宋体" w:hAnsi="宋体" w:eastAsia="宋体"/>
          <w:b/>
          <w:bCs/>
          <w:sz w:val="24"/>
        </w:rPr>
        <w:t>严格考核评价，落实师德师风第一标准。</w:t>
      </w:r>
      <w:r>
        <w:rPr>
          <w:rFonts w:hint="eastAsia" w:ascii="宋体" w:hAnsi="宋体" w:eastAsia="宋体"/>
          <w:sz w:val="24"/>
        </w:rPr>
        <w:t>对教师所开设的研究生课程的教学内容、教学方法、教学效果、教学秩序以及教师立德树人等方面进行督导评价，并做到督导评价的课程、人员全覆盖全面落实研究生导师立德树人职责，将导师立德树人职责履行情况作为导师招生资格认定、导师团队评选、教师年度考核、职称（职务）评聘、岗位聘用、评优评先、绩效分配等工作的重要依据之一。评价结果不合格的导师实行“一票否决”。</w:t>
      </w:r>
    </w:p>
    <w:p>
      <w:pPr>
        <w:spacing w:line="500" w:lineRule="atLeast"/>
        <w:ind w:firstLine="425"/>
        <w:rPr>
          <w:rFonts w:ascii="宋体" w:hAnsi="宋体" w:eastAsia="宋体"/>
          <w:b/>
          <w:bCs/>
          <w:sz w:val="24"/>
        </w:rPr>
      </w:pPr>
      <w:r>
        <w:rPr>
          <w:rFonts w:hint="eastAsia" w:ascii="宋体" w:hAnsi="宋体" w:eastAsia="宋体"/>
          <w:b/>
          <w:bCs/>
          <w:sz w:val="24"/>
        </w:rPr>
        <w:t>（2）师德师风建设主要成效</w:t>
      </w:r>
    </w:p>
    <w:p>
      <w:pPr>
        <w:spacing w:line="500" w:lineRule="atLeast"/>
        <w:ind w:firstLine="480" w:firstLineChars="200"/>
        <w:rPr>
          <w:rFonts w:ascii="宋体" w:hAnsi="宋体" w:eastAsia="宋体"/>
          <w:sz w:val="24"/>
        </w:rPr>
      </w:pPr>
      <w:r>
        <w:rPr>
          <w:rFonts w:hint="eastAsia" w:ascii="宋体" w:hAnsi="宋体" w:eastAsia="宋体"/>
          <w:sz w:val="24"/>
        </w:rPr>
        <w:t>教书育人</w:t>
      </w:r>
      <w:r>
        <w:rPr>
          <w:rFonts w:ascii="宋体" w:hAnsi="宋体" w:eastAsia="宋体"/>
          <w:sz w:val="24"/>
        </w:rPr>
        <w:t>氛围更加浓厚。在立德树人办学思想的指引下，“重科研、轻教学”局面得以改变，教师主动将育人软指标转成为硬任务，对标时代新人标准育人、静心教书、潜心育人，回归教书育人初心</w:t>
      </w:r>
      <w:r>
        <w:rPr>
          <w:rFonts w:hint="eastAsia" w:ascii="宋体" w:hAnsi="宋体" w:eastAsia="宋体"/>
          <w:sz w:val="24"/>
        </w:rPr>
        <w:t>。</w:t>
      </w:r>
    </w:p>
    <w:p>
      <w:pPr>
        <w:spacing w:line="500" w:lineRule="atLeast"/>
        <w:ind w:firstLine="425"/>
        <w:rPr>
          <w:rFonts w:ascii="宋体" w:hAnsi="宋体" w:eastAsia="宋体"/>
          <w:sz w:val="24"/>
        </w:rPr>
      </w:pPr>
      <w:r>
        <w:rPr>
          <w:rFonts w:ascii="宋体" w:hAnsi="宋体" w:eastAsia="宋体"/>
          <w:b/>
          <w:bCs/>
          <w:sz w:val="24"/>
        </w:rPr>
        <w:t>师德师风管理制度不断健全。</w:t>
      </w:r>
      <w:r>
        <w:rPr>
          <w:rFonts w:ascii="宋体" w:hAnsi="宋体" w:eastAsia="宋体"/>
          <w:sz w:val="24"/>
        </w:rPr>
        <w:t>形成师德师风的一系列规章制度和多项激励政策，定期举办学术道德和学术不端行为知识等专题讲座，“请进来”、“走出去”，开展形式多样的思政课程和课程思政的培训及研讨活动。</w:t>
      </w:r>
    </w:p>
    <w:p>
      <w:pPr>
        <w:spacing w:line="500" w:lineRule="atLeast"/>
        <w:ind w:firstLine="425"/>
        <w:rPr>
          <w:rFonts w:ascii="宋体" w:hAnsi="宋体" w:eastAsia="宋体"/>
          <w:szCs w:val="21"/>
        </w:rPr>
      </w:pPr>
      <w:r>
        <w:rPr>
          <w:rFonts w:hint="eastAsia" w:ascii="宋体" w:hAnsi="宋体" w:eastAsia="宋体" w:cs="Times New Roman"/>
          <w:b/>
          <w:bCs/>
          <w:color w:val="000000"/>
          <w:sz w:val="24"/>
        </w:rPr>
        <w:t>人才培养和教学成果彰显，教师个人荣誉不断涌现。</w:t>
      </w:r>
      <w:r>
        <w:rPr>
          <w:rFonts w:hint="eastAsia" w:ascii="宋体" w:hAnsi="宋体" w:eastAsia="宋体" w:cs="Times New Roman"/>
          <w:color w:val="000000"/>
          <w:sz w:val="24"/>
        </w:rPr>
        <w:t>郑海荣教学案例2020年入选福建农林大学“思政课程”与“课程思政”优秀教学案例；何均琳2020年获“福建省优秀教师”荣誉称号、教育部在线教育研究中心“智慧教学之星”荣誉称号；庄佩芬2020年荣获学校“优秀教师”和学院“师德先进个人”荣誉称号。</w:t>
      </w:r>
    </w:p>
    <w:p>
      <w:pPr>
        <w:pStyle w:val="16"/>
        <w:spacing w:line="500" w:lineRule="atLeast"/>
        <w:ind w:firstLine="640"/>
        <w:rPr>
          <w:rFonts w:ascii="仿宋" w:hAnsi="仿宋" w:eastAsia="仿宋" w:cs="仿宋"/>
          <w:sz w:val="32"/>
          <w:szCs w:val="32"/>
        </w:rPr>
      </w:pPr>
      <w:r>
        <w:rPr>
          <w:rFonts w:hint="eastAsia" w:ascii="仿宋" w:hAnsi="仿宋" w:eastAsia="仿宋" w:cs="仿宋"/>
          <w:sz w:val="32"/>
          <w:szCs w:val="32"/>
        </w:rPr>
        <w:t>3.招生选拔</w:t>
      </w:r>
    </w:p>
    <w:p>
      <w:pPr>
        <w:spacing w:line="500" w:lineRule="atLeast"/>
        <w:ind w:firstLine="425"/>
        <w:rPr>
          <w:rFonts w:ascii="宋体" w:hAnsi="宋体" w:eastAsia="宋体"/>
          <w:sz w:val="24"/>
        </w:rPr>
      </w:pPr>
      <w:r>
        <w:rPr>
          <w:rFonts w:hint="eastAsia" w:ascii="宋体" w:hAnsi="宋体" w:eastAsia="宋体"/>
          <w:sz w:val="24"/>
        </w:rPr>
        <w:t>学院制定并严格执行规范的招生考试和录取办法，确保研究生招生录取工作科学公正、规范透明。出台专门政策，鼓励优秀本科生推免或报考应用经济学硕士研究生。</w:t>
      </w:r>
    </w:p>
    <w:p>
      <w:pPr>
        <w:spacing w:line="500" w:lineRule="atLeast"/>
        <w:ind w:firstLine="425"/>
        <w:rPr>
          <w:rFonts w:ascii="宋体" w:hAnsi="宋体" w:eastAsia="宋体"/>
          <w:sz w:val="24"/>
        </w:rPr>
      </w:pPr>
      <w:r>
        <w:rPr>
          <w:rFonts w:hint="eastAsia" w:ascii="宋体" w:hAnsi="宋体" w:eastAsia="宋体"/>
          <w:sz w:val="24"/>
        </w:rPr>
        <w:t>（1）选拔途径：本学位点学生生源主要来自全国硕士生入学统一考试和硕士生推免。</w:t>
      </w:r>
    </w:p>
    <w:p>
      <w:pPr>
        <w:spacing w:line="500" w:lineRule="atLeast"/>
        <w:ind w:firstLine="425"/>
        <w:rPr>
          <w:rFonts w:ascii="宋体" w:hAnsi="宋体" w:eastAsia="宋体"/>
          <w:sz w:val="24"/>
        </w:rPr>
      </w:pPr>
      <w:r>
        <w:rPr>
          <w:rFonts w:hint="eastAsia" w:ascii="宋体" w:hAnsi="宋体" w:eastAsia="宋体"/>
          <w:sz w:val="24"/>
        </w:rPr>
        <w:t>（2）复试组织和管理：学生复试严格按照学校《招收攻读硕士学位研究生复试录取办法》，制定详细复试实施细则进行复试。</w:t>
      </w:r>
    </w:p>
    <w:p>
      <w:pPr>
        <w:spacing w:line="500" w:lineRule="atLeast"/>
        <w:ind w:firstLine="425"/>
        <w:rPr>
          <w:rFonts w:ascii="宋体" w:hAnsi="宋体" w:eastAsia="宋体"/>
          <w:sz w:val="24"/>
        </w:rPr>
      </w:pPr>
      <w:r>
        <w:rPr>
          <w:rFonts w:hint="eastAsia" w:ascii="宋体" w:hAnsi="宋体" w:eastAsia="宋体"/>
          <w:sz w:val="24"/>
        </w:rPr>
        <w:t>（3）复试考核主要内容：包括专业素质能力、综合素质能力、身体素质能力考核。</w:t>
      </w:r>
    </w:p>
    <w:p>
      <w:pPr>
        <w:spacing w:line="500" w:lineRule="atLeast"/>
        <w:ind w:firstLine="425"/>
        <w:rPr>
          <w:rFonts w:ascii="宋体" w:hAnsi="宋体" w:eastAsia="宋体"/>
          <w:sz w:val="24"/>
        </w:rPr>
      </w:pPr>
      <w:r>
        <w:rPr>
          <w:rFonts w:hint="eastAsia" w:ascii="宋体" w:hAnsi="宋体" w:eastAsia="宋体"/>
          <w:sz w:val="24"/>
        </w:rPr>
        <w:t>本学位点2</w:t>
      </w:r>
      <w:r>
        <w:rPr>
          <w:rFonts w:ascii="宋体" w:hAnsi="宋体" w:eastAsia="宋体"/>
          <w:sz w:val="24"/>
        </w:rPr>
        <w:t>020</w:t>
      </w:r>
      <w:r>
        <w:rPr>
          <w:rFonts w:hint="eastAsia" w:ascii="宋体" w:hAnsi="宋体" w:eastAsia="宋体"/>
          <w:sz w:val="24"/>
        </w:rPr>
        <w:t>年度招生情况如下：</w:t>
      </w:r>
    </w:p>
    <w:p>
      <w:pPr>
        <w:spacing w:line="500" w:lineRule="atLeast"/>
        <w:ind w:firstLine="425"/>
        <w:jc w:val="center"/>
        <w:rPr>
          <w:rFonts w:ascii="宋体" w:hAnsi="宋体" w:eastAsia="宋体"/>
          <w:b/>
          <w:bCs/>
          <w:sz w:val="24"/>
        </w:rPr>
      </w:pPr>
      <w:r>
        <w:rPr>
          <w:rFonts w:hint="eastAsia" w:ascii="宋体" w:hAnsi="宋体" w:eastAsia="宋体"/>
          <w:b/>
          <w:bCs/>
          <w:sz w:val="24"/>
        </w:rPr>
        <w:t>表 3 2</w:t>
      </w:r>
      <w:r>
        <w:rPr>
          <w:rFonts w:ascii="宋体" w:hAnsi="宋体" w:eastAsia="宋体"/>
          <w:b/>
          <w:bCs/>
          <w:sz w:val="24"/>
        </w:rPr>
        <w:t>020</w:t>
      </w:r>
      <w:r>
        <w:rPr>
          <w:rFonts w:hint="eastAsia" w:ascii="宋体" w:hAnsi="宋体" w:eastAsia="宋体"/>
          <w:b/>
          <w:bCs/>
          <w:sz w:val="24"/>
        </w:rPr>
        <w:t>年度招生情况</w:t>
      </w:r>
    </w:p>
    <w:tbl>
      <w:tblPr>
        <w:tblStyle w:val="10"/>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252"/>
        <w:gridCol w:w="4839"/>
        <w:gridCol w:w="1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4" w:hRule="atLeast"/>
        </w:trPr>
        <w:tc>
          <w:tcPr>
            <w:tcW w:w="1352" w:type="pct"/>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500" w:lineRule="atLeast"/>
              <w:jc w:val="center"/>
              <w:rPr>
                <w:rFonts w:ascii="宋体" w:hAnsi="宋体" w:eastAsia="宋体" w:cs="宋体"/>
                <w:szCs w:val="21"/>
              </w:rPr>
            </w:pPr>
            <w:r>
              <w:rPr>
                <w:rFonts w:hint="eastAsia" w:ascii="宋体" w:hAnsi="宋体" w:eastAsia="宋体" w:cs="宋体"/>
                <w:szCs w:val="21"/>
              </w:rPr>
              <w:t>学科方向名称</w:t>
            </w:r>
          </w:p>
        </w:tc>
        <w:tc>
          <w:tcPr>
            <w:tcW w:w="2905" w:type="pct"/>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500" w:lineRule="atLeast"/>
              <w:jc w:val="center"/>
              <w:textAlignment w:val="center"/>
              <w:rPr>
                <w:rFonts w:ascii="宋体" w:hAnsi="宋体" w:eastAsia="宋体" w:cs="宋体"/>
                <w:szCs w:val="21"/>
              </w:rPr>
            </w:pPr>
            <w:r>
              <w:rPr>
                <w:rFonts w:hint="eastAsia" w:ascii="宋体" w:hAnsi="宋体" w:eastAsia="宋体" w:cs="宋体"/>
                <w:szCs w:val="21"/>
              </w:rPr>
              <w:t>项目</w:t>
            </w:r>
          </w:p>
        </w:tc>
        <w:tc>
          <w:tcPr>
            <w:tcW w:w="742" w:type="pct"/>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500" w:lineRule="atLeast"/>
              <w:jc w:val="center"/>
              <w:rPr>
                <w:rFonts w:ascii="宋体" w:hAnsi="宋体" w:eastAsia="宋体" w:cs="宋体"/>
                <w:szCs w:val="21"/>
              </w:rPr>
            </w:pPr>
            <w:r>
              <w:rPr>
                <w:rFonts w:hint="eastAsia" w:ascii="宋体" w:hAnsi="宋体" w:eastAsia="宋体" w:cs="宋体"/>
                <w:szCs w:val="21"/>
              </w:rPr>
              <w:t>2020年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4" w:hRule="atLeast"/>
        </w:trPr>
        <w:tc>
          <w:tcPr>
            <w:tcW w:w="1352" w:type="pct"/>
            <w:vMerge w:val="restart"/>
            <w:tcBorders>
              <w:top w:val="single" w:color="auto" w:sz="4" w:space="0"/>
              <w:left w:val="single" w:color="auto" w:sz="4" w:space="0"/>
              <w:right w:val="single" w:color="auto" w:sz="4" w:space="0"/>
            </w:tcBorders>
            <w:tcMar>
              <w:top w:w="10" w:type="dxa"/>
              <w:left w:w="10" w:type="dxa"/>
              <w:bottom w:w="0" w:type="dxa"/>
              <w:right w:w="10" w:type="dxa"/>
            </w:tcMar>
            <w:vAlign w:val="center"/>
          </w:tcPr>
          <w:p>
            <w:pPr>
              <w:spacing w:line="500" w:lineRule="atLeast"/>
              <w:jc w:val="center"/>
              <w:rPr>
                <w:rFonts w:ascii="宋体" w:hAnsi="宋体" w:eastAsia="宋体" w:cs="宋体"/>
                <w:szCs w:val="21"/>
              </w:rPr>
            </w:pPr>
            <w:r>
              <w:rPr>
                <w:rFonts w:hint="eastAsia" w:ascii="宋体" w:hAnsi="宋体" w:eastAsia="宋体" w:cs="宋体"/>
                <w:szCs w:val="21"/>
              </w:rPr>
              <w:t>金融学</w:t>
            </w:r>
          </w:p>
        </w:tc>
        <w:tc>
          <w:tcPr>
            <w:tcW w:w="2905" w:type="pct"/>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500" w:lineRule="atLeast"/>
              <w:textAlignment w:val="center"/>
              <w:rPr>
                <w:rFonts w:ascii="宋体" w:hAnsi="宋体" w:eastAsia="宋体" w:cs="宋体"/>
                <w:szCs w:val="21"/>
              </w:rPr>
            </w:pPr>
            <w:r>
              <w:rPr>
                <w:rFonts w:hint="eastAsia" w:ascii="宋体" w:hAnsi="宋体" w:eastAsia="宋体" w:cs="宋体"/>
                <w:szCs w:val="21"/>
              </w:rPr>
              <w:t>研究生招生人数</w:t>
            </w:r>
          </w:p>
        </w:tc>
        <w:tc>
          <w:tcPr>
            <w:tcW w:w="742" w:type="pct"/>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500" w:lineRule="atLeast"/>
              <w:jc w:val="center"/>
              <w:rPr>
                <w:rFonts w:ascii="宋体" w:hAnsi="宋体" w:eastAsia="宋体" w:cs="宋体"/>
                <w:szCs w:val="21"/>
              </w:rPr>
            </w:pPr>
            <w:r>
              <w:rPr>
                <w:rFonts w:hint="eastAsia" w:ascii="宋体" w:hAnsi="宋体" w:eastAsia="宋体" w:cs="宋体"/>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4" w:hRule="atLeast"/>
        </w:trPr>
        <w:tc>
          <w:tcPr>
            <w:tcW w:w="1352" w:type="pct"/>
            <w:vMerge w:val="continue"/>
            <w:tcBorders>
              <w:left w:val="single" w:color="auto" w:sz="4" w:space="0"/>
              <w:right w:val="single" w:color="auto" w:sz="4" w:space="0"/>
            </w:tcBorders>
            <w:tcMar>
              <w:top w:w="10" w:type="dxa"/>
              <w:left w:w="10" w:type="dxa"/>
              <w:bottom w:w="0" w:type="dxa"/>
              <w:right w:w="10" w:type="dxa"/>
            </w:tcMar>
            <w:vAlign w:val="center"/>
          </w:tcPr>
          <w:p>
            <w:pPr>
              <w:spacing w:line="500" w:lineRule="atLeast"/>
              <w:jc w:val="center"/>
              <w:rPr>
                <w:rFonts w:ascii="宋体" w:hAnsi="宋体" w:eastAsia="宋体" w:cs="宋体"/>
                <w:szCs w:val="21"/>
              </w:rPr>
            </w:pPr>
          </w:p>
        </w:tc>
        <w:tc>
          <w:tcPr>
            <w:tcW w:w="2905" w:type="pct"/>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500" w:lineRule="atLeast"/>
              <w:ind w:firstLine="630" w:firstLineChars="300"/>
              <w:textAlignment w:val="center"/>
              <w:rPr>
                <w:rFonts w:ascii="宋体" w:hAnsi="宋体" w:eastAsia="宋体" w:cs="宋体"/>
                <w:szCs w:val="21"/>
              </w:rPr>
            </w:pPr>
            <w:r>
              <w:rPr>
                <w:rFonts w:hint="eastAsia" w:ascii="宋体" w:hAnsi="宋体" w:eastAsia="宋体" w:cs="宋体"/>
                <w:szCs w:val="21"/>
              </w:rPr>
              <w:t>其中：全日制招生人数</w:t>
            </w:r>
          </w:p>
        </w:tc>
        <w:tc>
          <w:tcPr>
            <w:tcW w:w="742" w:type="pct"/>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500" w:lineRule="atLeast"/>
              <w:jc w:val="center"/>
              <w:rPr>
                <w:rFonts w:ascii="宋体" w:hAnsi="宋体" w:eastAsia="宋体" w:cs="宋体"/>
                <w:szCs w:val="21"/>
              </w:rPr>
            </w:pPr>
            <w:r>
              <w:rPr>
                <w:rFonts w:hint="eastAsia" w:ascii="宋体" w:hAnsi="宋体" w:eastAsia="宋体" w:cs="宋体"/>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4" w:hRule="atLeast"/>
        </w:trPr>
        <w:tc>
          <w:tcPr>
            <w:tcW w:w="1352" w:type="pct"/>
            <w:vMerge w:val="continue"/>
            <w:tcBorders>
              <w:left w:val="single" w:color="auto" w:sz="4" w:space="0"/>
              <w:right w:val="single" w:color="auto" w:sz="4" w:space="0"/>
            </w:tcBorders>
            <w:tcMar>
              <w:top w:w="10" w:type="dxa"/>
              <w:left w:w="10" w:type="dxa"/>
              <w:bottom w:w="0" w:type="dxa"/>
              <w:right w:w="10" w:type="dxa"/>
            </w:tcMar>
            <w:vAlign w:val="center"/>
          </w:tcPr>
          <w:p>
            <w:pPr>
              <w:spacing w:line="500" w:lineRule="atLeast"/>
              <w:jc w:val="center"/>
              <w:rPr>
                <w:rFonts w:ascii="宋体" w:hAnsi="宋体" w:eastAsia="宋体" w:cs="宋体"/>
                <w:szCs w:val="21"/>
              </w:rPr>
            </w:pPr>
          </w:p>
        </w:tc>
        <w:tc>
          <w:tcPr>
            <w:tcW w:w="2905" w:type="pct"/>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500" w:lineRule="atLeast"/>
              <w:ind w:firstLine="1050" w:firstLineChars="500"/>
              <w:textAlignment w:val="center"/>
              <w:rPr>
                <w:rFonts w:ascii="宋体" w:hAnsi="宋体" w:eastAsia="宋体" w:cs="宋体"/>
                <w:szCs w:val="21"/>
              </w:rPr>
            </w:pPr>
            <w:r>
              <w:rPr>
                <w:rFonts w:hint="eastAsia" w:ascii="宋体" w:hAnsi="宋体" w:eastAsia="宋体" w:cs="宋体"/>
                <w:szCs w:val="21"/>
              </w:rPr>
              <w:t>非全日制招生人数</w:t>
            </w:r>
          </w:p>
        </w:tc>
        <w:tc>
          <w:tcPr>
            <w:tcW w:w="742" w:type="pct"/>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500" w:lineRule="atLeast"/>
              <w:jc w:val="center"/>
              <w:rPr>
                <w:rFonts w:ascii="宋体" w:hAnsi="宋体" w:eastAsia="宋体" w:cs="宋体"/>
                <w:szCs w:val="21"/>
              </w:rPr>
            </w:pPr>
            <w:r>
              <w:rPr>
                <w:rFonts w:hint="eastAsia" w:ascii="宋体" w:hAnsi="宋体" w:eastAsia="宋体" w:cs="宋体"/>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4" w:hRule="atLeast"/>
        </w:trPr>
        <w:tc>
          <w:tcPr>
            <w:tcW w:w="1352" w:type="pct"/>
            <w:vMerge w:val="continue"/>
            <w:tcBorders>
              <w:left w:val="single" w:color="auto" w:sz="4" w:space="0"/>
              <w:right w:val="single" w:color="auto" w:sz="4" w:space="0"/>
            </w:tcBorders>
            <w:tcMar>
              <w:top w:w="10" w:type="dxa"/>
              <w:left w:w="10" w:type="dxa"/>
              <w:bottom w:w="0" w:type="dxa"/>
              <w:right w:w="10" w:type="dxa"/>
            </w:tcMar>
            <w:vAlign w:val="center"/>
          </w:tcPr>
          <w:p>
            <w:pPr>
              <w:spacing w:line="500" w:lineRule="atLeast"/>
              <w:jc w:val="center"/>
              <w:rPr>
                <w:rFonts w:ascii="宋体" w:hAnsi="宋体" w:eastAsia="宋体" w:cs="宋体"/>
                <w:szCs w:val="21"/>
              </w:rPr>
            </w:pPr>
          </w:p>
        </w:tc>
        <w:tc>
          <w:tcPr>
            <w:tcW w:w="2905" w:type="pct"/>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500" w:lineRule="atLeast"/>
              <w:textAlignment w:val="center"/>
              <w:rPr>
                <w:rFonts w:ascii="宋体" w:hAnsi="宋体" w:eastAsia="宋体" w:cs="宋体"/>
                <w:szCs w:val="21"/>
              </w:rPr>
            </w:pPr>
            <w:r>
              <w:rPr>
                <w:rFonts w:hint="eastAsia" w:ascii="宋体" w:hAnsi="宋体" w:eastAsia="宋体" w:cs="宋体"/>
                <w:szCs w:val="21"/>
              </w:rPr>
              <w:t>招录学生中本科推免生人数</w:t>
            </w:r>
          </w:p>
        </w:tc>
        <w:tc>
          <w:tcPr>
            <w:tcW w:w="742" w:type="pct"/>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500" w:lineRule="atLeast"/>
              <w:jc w:val="center"/>
              <w:rPr>
                <w:rFonts w:ascii="宋体" w:hAnsi="宋体" w:eastAsia="宋体" w:cs="宋体"/>
                <w:szCs w:val="21"/>
              </w:rPr>
            </w:pPr>
            <w:r>
              <w:rPr>
                <w:rFonts w:hint="eastAsia" w:ascii="宋体" w:hAnsi="宋体" w:eastAsia="宋体"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4" w:hRule="atLeast"/>
        </w:trPr>
        <w:tc>
          <w:tcPr>
            <w:tcW w:w="1352" w:type="pct"/>
            <w:vMerge w:val="continue"/>
            <w:tcBorders>
              <w:left w:val="single" w:color="auto" w:sz="4" w:space="0"/>
              <w:right w:val="single" w:color="auto" w:sz="4" w:space="0"/>
            </w:tcBorders>
            <w:tcMar>
              <w:top w:w="10" w:type="dxa"/>
              <w:left w:w="10" w:type="dxa"/>
              <w:bottom w:w="0" w:type="dxa"/>
              <w:right w:w="10" w:type="dxa"/>
            </w:tcMar>
            <w:vAlign w:val="center"/>
          </w:tcPr>
          <w:p>
            <w:pPr>
              <w:spacing w:line="500" w:lineRule="atLeast"/>
              <w:jc w:val="center"/>
              <w:rPr>
                <w:rFonts w:ascii="宋体" w:hAnsi="宋体" w:eastAsia="宋体" w:cs="宋体"/>
                <w:szCs w:val="21"/>
              </w:rPr>
            </w:pPr>
          </w:p>
        </w:tc>
        <w:tc>
          <w:tcPr>
            <w:tcW w:w="2905" w:type="pct"/>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500" w:lineRule="atLeast"/>
              <w:textAlignment w:val="center"/>
              <w:rPr>
                <w:rFonts w:ascii="宋体" w:hAnsi="宋体" w:eastAsia="宋体" w:cs="宋体"/>
                <w:szCs w:val="21"/>
              </w:rPr>
            </w:pPr>
            <w:r>
              <w:rPr>
                <w:rFonts w:hint="eastAsia" w:ascii="宋体" w:hAnsi="宋体" w:eastAsia="宋体" w:cs="宋体"/>
                <w:szCs w:val="21"/>
              </w:rPr>
              <w:t>招录学生中普通招考人数</w:t>
            </w:r>
          </w:p>
        </w:tc>
        <w:tc>
          <w:tcPr>
            <w:tcW w:w="742" w:type="pct"/>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500" w:lineRule="atLeast"/>
              <w:jc w:val="center"/>
              <w:rPr>
                <w:rFonts w:ascii="宋体" w:hAnsi="宋体" w:eastAsia="宋体" w:cs="宋体"/>
                <w:szCs w:val="21"/>
              </w:rPr>
            </w:pPr>
            <w:r>
              <w:rPr>
                <w:rFonts w:hint="eastAsia" w:ascii="宋体" w:hAnsi="宋体" w:eastAsia="宋体" w:cs="宋体"/>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4" w:hRule="atLeast"/>
        </w:trPr>
        <w:tc>
          <w:tcPr>
            <w:tcW w:w="1352" w:type="pct"/>
            <w:vMerge w:val="restart"/>
            <w:tcBorders>
              <w:left w:val="single" w:color="auto" w:sz="4" w:space="0"/>
              <w:right w:val="single" w:color="auto" w:sz="4" w:space="0"/>
            </w:tcBorders>
            <w:tcMar>
              <w:top w:w="10" w:type="dxa"/>
              <w:left w:w="10" w:type="dxa"/>
              <w:bottom w:w="0" w:type="dxa"/>
              <w:right w:w="10" w:type="dxa"/>
            </w:tcMar>
            <w:vAlign w:val="center"/>
          </w:tcPr>
          <w:p>
            <w:pPr>
              <w:spacing w:line="500" w:lineRule="atLeast"/>
              <w:jc w:val="center"/>
              <w:rPr>
                <w:rFonts w:ascii="宋体" w:hAnsi="宋体" w:eastAsia="宋体" w:cs="宋体"/>
                <w:szCs w:val="21"/>
              </w:rPr>
            </w:pPr>
            <w:r>
              <w:rPr>
                <w:rFonts w:hint="eastAsia" w:ascii="宋体" w:hAnsi="宋体" w:eastAsia="宋体" w:cs="宋体"/>
                <w:szCs w:val="21"/>
              </w:rPr>
              <w:t>国际贸易学</w:t>
            </w:r>
          </w:p>
          <w:p>
            <w:pPr>
              <w:spacing w:line="500" w:lineRule="atLeast"/>
              <w:jc w:val="center"/>
              <w:rPr>
                <w:rFonts w:ascii="宋体" w:hAnsi="宋体" w:eastAsia="宋体" w:cs="宋体"/>
                <w:szCs w:val="21"/>
              </w:rPr>
            </w:pPr>
          </w:p>
        </w:tc>
        <w:tc>
          <w:tcPr>
            <w:tcW w:w="2905" w:type="pct"/>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500" w:lineRule="atLeast"/>
              <w:textAlignment w:val="center"/>
              <w:rPr>
                <w:rFonts w:ascii="宋体" w:hAnsi="宋体" w:eastAsia="宋体" w:cs="宋体"/>
                <w:szCs w:val="21"/>
              </w:rPr>
            </w:pPr>
            <w:r>
              <w:rPr>
                <w:rFonts w:hint="eastAsia" w:ascii="宋体" w:hAnsi="宋体" w:eastAsia="宋体" w:cs="宋体"/>
                <w:szCs w:val="21"/>
              </w:rPr>
              <w:t>研究生招生人数</w:t>
            </w:r>
          </w:p>
        </w:tc>
        <w:tc>
          <w:tcPr>
            <w:tcW w:w="742" w:type="pct"/>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500" w:lineRule="atLeast"/>
              <w:jc w:val="center"/>
              <w:rPr>
                <w:rFonts w:ascii="宋体" w:hAnsi="宋体" w:eastAsia="宋体" w:cs="宋体"/>
                <w:szCs w:val="21"/>
              </w:rPr>
            </w:pPr>
            <w:r>
              <w:rPr>
                <w:rFonts w:hint="eastAsia" w:ascii="宋体" w:hAnsi="宋体" w:eastAsia="宋体" w:cs="宋体"/>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4" w:hRule="atLeast"/>
        </w:trPr>
        <w:tc>
          <w:tcPr>
            <w:tcW w:w="1352" w:type="pct"/>
            <w:vMerge w:val="continue"/>
            <w:tcBorders>
              <w:left w:val="single" w:color="auto" w:sz="4" w:space="0"/>
              <w:right w:val="single" w:color="auto" w:sz="4" w:space="0"/>
            </w:tcBorders>
            <w:tcMar>
              <w:top w:w="10" w:type="dxa"/>
              <w:left w:w="10" w:type="dxa"/>
              <w:bottom w:w="0" w:type="dxa"/>
              <w:right w:w="10" w:type="dxa"/>
            </w:tcMar>
            <w:vAlign w:val="center"/>
          </w:tcPr>
          <w:p>
            <w:pPr>
              <w:spacing w:line="500" w:lineRule="atLeast"/>
              <w:jc w:val="center"/>
              <w:rPr>
                <w:rFonts w:ascii="宋体" w:hAnsi="宋体" w:eastAsia="宋体" w:cs="宋体"/>
                <w:szCs w:val="21"/>
              </w:rPr>
            </w:pPr>
          </w:p>
        </w:tc>
        <w:tc>
          <w:tcPr>
            <w:tcW w:w="2905" w:type="pct"/>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500" w:lineRule="atLeast"/>
              <w:ind w:firstLine="630" w:firstLineChars="300"/>
              <w:textAlignment w:val="center"/>
              <w:rPr>
                <w:rFonts w:ascii="宋体" w:hAnsi="宋体" w:eastAsia="宋体" w:cs="宋体"/>
                <w:szCs w:val="21"/>
              </w:rPr>
            </w:pPr>
            <w:r>
              <w:rPr>
                <w:rFonts w:hint="eastAsia" w:ascii="宋体" w:hAnsi="宋体" w:eastAsia="宋体" w:cs="宋体"/>
                <w:szCs w:val="21"/>
              </w:rPr>
              <w:t>其中：全日制招生人数</w:t>
            </w:r>
          </w:p>
        </w:tc>
        <w:tc>
          <w:tcPr>
            <w:tcW w:w="742" w:type="pct"/>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500" w:lineRule="atLeast"/>
              <w:jc w:val="center"/>
              <w:rPr>
                <w:rFonts w:ascii="宋体" w:hAnsi="宋体" w:eastAsia="宋体" w:cs="宋体"/>
                <w:szCs w:val="21"/>
              </w:rPr>
            </w:pPr>
            <w:r>
              <w:rPr>
                <w:rFonts w:hint="eastAsia" w:ascii="宋体" w:hAnsi="宋体" w:eastAsia="宋体" w:cs="宋体"/>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4" w:hRule="atLeast"/>
        </w:trPr>
        <w:tc>
          <w:tcPr>
            <w:tcW w:w="1352" w:type="pct"/>
            <w:vMerge w:val="continue"/>
            <w:tcBorders>
              <w:left w:val="single" w:color="auto" w:sz="4" w:space="0"/>
              <w:right w:val="single" w:color="auto" w:sz="4" w:space="0"/>
            </w:tcBorders>
            <w:tcMar>
              <w:top w:w="10" w:type="dxa"/>
              <w:left w:w="10" w:type="dxa"/>
              <w:bottom w:w="0" w:type="dxa"/>
              <w:right w:w="10" w:type="dxa"/>
            </w:tcMar>
            <w:vAlign w:val="center"/>
          </w:tcPr>
          <w:p>
            <w:pPr>
              <w:spacing w:line="500" w:lineRule="atLeast"/>
              <w:jc w:val="center"/>
              <w:rPr>
                <w:rFonts w:ascii="宋体" w:hAnsi="宋体" w:eastAsia="宋体" w:cs="宋体"/>
                <w:szCs w:val="21"/>
              </w:rPr>
            </w:pPr>
          </w:p>
        </w:tc>
        <w:tc>
          <w:tcPr>
            <w:tcW w:w="2905" w:type="pct"/>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500" w:lineRule="atLeast"/>
              <w:ind w:firstLine="1050" w:firstLineChars="500"/>
              <w:textAlignment w:val="center"/>
              <w:rPr>
                <w:rFonts w:ascii="宋体" w:hAnsi="宋体" w:eastAsia="宋体" w:cs="宋体"/>
                <w:szCs w:val="21"/>
              </w:rPr>
            </w:pPr>
            <w:r>
              <w:rPr>
                <w:rFonts w:hint="eastAsia" w:ascii="宋体" w:hAnsi="宋体" w:eastAsia="宋体" w:cs="宋体"/>
                <w:szCs w:val="21"/>
              </w:rPr>
              <w:t>非全日制招生人数</w:t>
            </w:r>
          </w:p>
        </w:tc>
        <w:tc>
          <w:tcPr>
            <w:tcW w:w="742" w:type="pct"/>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500" w:lineRule="atLeast"/>
              <w:jc w:val="center"/>
              <w:rPr>
                <w:rFonts w:ascii="宋体" w:hAnsi="宋体" w:eastAsia="宋体" w:cs="宋体"/>
                <w:szCs w:val="21"/>
              </w:rPr>
            </w:pPr>
            <w:r>
              <w:rPr>
                <w:rFonts w:hint="eastAsia" w:ascii="宋体" w:hAnsi="宋体" w:eastAsia="宋体" w:cs="宋体"/>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4" w:hRule="atLeast"/>
        </w:trPr>
        <w:tc>
          <w:tcPr>
            <w:tcW w:w="1352" w:type="pct"/>
            <w:vMerge w:val="continue"/>
            <w:tcBorders>
              <w:left w:val="single" w:color="auto" w:sz="4" w:space="0"/>
              <w:right w:val="single" w:color="auto" w:sz="4" w:space="0"/>
            </w:tcBorders>
            <w:tcMar>
              <w:top w:w="10" w:type="dxa"/>
              <w:left w:w="10" w:type="dxa"/>
              <w:bottom w:w="0" w:type="dxa"/>
              <w:right w:w="10" w:type="dxa"/>
            </w:tcMar>
            <w:vAlign w:val="center"/>
          </w:tcPr>
          <w:p>
            <w:pPr>
              <w:spacing w:line="500" w:lineRule="atLeast"/>
              <w:jc w:val="center"/>
              <w:rPr>
                <w:rFonts w:ascii="宋体" w:hAnsi="宋体" w:eastAsia="宋体" w:cs="宋体"/>
                <w:szCs w:val="21"/>
              </w:rPr>
            </w:pPr>
          </w:p>
        </w:tc>
        <w:tc>
          <w:tcPr>
            <w:tcW w:w="2905" w:type="pct"/>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500" w:lineRule="atLeast"/>
              <w:textAlignment w:val="center"/>
              <w:rPr>
                <w:rFonts w:ascii="宋体" w:hAnsi="宋体" w:eastAsia="宋体" w:cs="宋体"/>
                <w:szCs w:val="21"/>
              </w:rPr>
            </w:pPr>
            <w:r>
              <w:rPr>
                <w:rFonts w:hint="eastAsia" w:ascii="宋体" w:hAnsi="宋体" w:eastAsia="宋体" w:cs="宋体"/>
                <w:szCs w:val="21"/>
              </w:rPr>
              <w:t>招录学生中本科推免生人数</w:t>
            </w:r>
          </w:p>
        </w:tc>
        <w:tc>
          <w:tcPr>
            <w:tcW w:w="742" w:type="pct"/>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500" w:lineRule="atLeast"/>
              <w:jc w:val="center"/>
              <w:rPr>
                <w:rFonts w:ascii="宋体" w:hAnsi="宋体" w:eastAsia="宋体" w:cs="宋体"/>
                <w:szCs w:val="21"/>
              </w:rPr>
            </w:pPr>
            <w:r>
              <w:rPr>
                <w:rFonts w:hint="eastAsia" w:ascii="宋体" w:hAnsi="宋体" w:eastAsia="宋体" w:cs="宋体"/>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4" w:hRule="atLeast"/>
        </w:trPr>
        <w:tc>
          <w:tcPr>
            <w:tcW w:w="1352" w:type="pct"/>
            <w:vMerge w:val="continue"/>
            <w:tcBorders>
              <w:left w:val="single" w:color="auto" w:sz="4" w:space="0"/>
              <w:right w:val="single" w:color="auto" w:sz="4" w:space="0"/>
            </w:tcBorders>
            <w:tcMar>
              <w:top w:w="10" w:type="dxa"/>
              <w:left w:w="10" w:type="dxa"/>
              <w:bottom w:w="0" w:type="dxa"/>
              <w:right w:w="10" w:type="dxa"/>
            </w:tcMar>
            <w:vAlign w:val="center"/>
          </w:tcPr>
          <w:p>
            <w:pPr>
              <w:spacing w:line="500" w:lineRule="atLeast"/>
              <w:jc w:val="center"/>
              <w:rPr>
                <w:rFonts w:ascii="宋体" w:hAnsi="宋体" w:eastAsia="宋体" w:cs="宋体"/>
                <w:szCs w:val="21"/>
              </w:rPr>
            </w:pPr>
          </w:p>
        </w:tc>
        <w:tc>
          <w:tcPr>
            <w:tcW w:w="2905" w:type="pct"/>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500" w:lineRule="atLeast"/>
              <w:textAlignment w:val="center"/>
              <w:rPr>
                <w:rFonts w:ascii="宋体" w:hAnsi="宋体" w:eastAsia="宋体" w:cs="宋体"/>
                <w:szCs w:val="21"/>
              </w:rPr>
            </w:pPr>
            <w:r>
              <w:rPr>
                <w:rFonts w:hint="eastAsia" w:ascii="宋体" w:hAnsi="宋体" w:eastAsia="宋体" w:cs="宋体"/>
                <w:szCs w:val="21"/>
              </w:rPr>
              <w:t>招录学生中普通招考人数</w:t>
            </w:r>
          </w:p>
        </w:tc>
        <w:tc>
          <w:tcPr>
            <w:tcW w:w="742" w:type="pct"/>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500" w:lineRule="atLeast"/>
              <w:jc w:val="center"/>
              <w:rPr>
                <w:rFonts w:ascii="宋体" w:hAnsi="宋体" w:eastAsia="宋体" w:cs="宋体"/>
                <w:szCs w:val="21"/>
              </w:rPr>
            </w:pPr>
            <w:r>
              <w:rPr>
                <w:rFonts w:hint="eastAsia" w:ascii="宋体" w:hAnsi="宋体" w:eastAsia="宋体" w:cs="宋体"/>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4" w:hRule="atLeast"/>
        </w:trPr>
        <w:tc>
          <w:tcPr>
            <w:tcW w:w="1352" w:type="pct"/>
            <w:vMerge w:val="restart"/>
            <w:tcBorders>
              <w:left w:val="single" w:color="auto" w:sz="4" w:space="0"/>
              <w:right w:val="single" w:color="auto" w:sz="4" w:space="0"/>
            </w:tcBorders>
            <w:tcMar>
              <w:top w:w="10" w:type="dxa"/>
              <w:left w:w="10" w:type="dxa"/>
              <w:bottom w:w="0" w:type="dxa"/>
              <w:right w:w="10" w:type="dxa"/>
            </w:tcMar>
            <w:vAlign w:val="center"/>
          </w:tcPr>
          <w:p>
            <w:pPr>
              <w:spacing w:line="500" w:lineRule="atLeast"/>
              <w:jc w:val="center"/>
              <w:rPr>
                <w:rFonts w:ascii="宋体" w:hAnsi="宋体" w:eastAsia="宋体" w:cs="宋体"/>
                <w:szCs w:val="21"/>
              </w:rPr>
            </w:pPr>
            <w:r>
              <w:rPr>
                <w:rFonts w:hint="eastAsia" w:ascii="宋体" w:hAnsi="宋体" w:eastAsia="宋体" w:cs="宋体"/>
                <w:szCs w:val="21"/>
              </w:rPr>
              <w:t>区域经济学</w:t>
            </w:r>
          </w:p>
          <w:p>
            <w:pPr>
              <w:spacing w:line="500" w:lineRule="atLeast"/>
              <w:jc w:val="center"/>
              <w:rPr>
                <w:rFonts w:ascii="宋体" w:hAnsi="宋体" w:eastAsia="宋体" w:cs="宋体"/>
                <w:szCs w:val="21"/>
              </w:rPr>
            </w:pPr>
          </w:p>
        </w:tc>
        <w:tc>
          <w:tcPr>
            <w:tcW w:w="2905" w:type="pct"/>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500" w:lineRule="atLeast"/>
              <w:textAlignment w:val="center"/>
              <w:rPr>
                <w:rFonts w:ascii="宋体" w:hAnsi="宋体" w:eastAsia="宋体" w:cs="宋体"/>
                <w:szCs w:val="21"/>
              </w:rPr>
            </w:pPr>
            <w:r>
              <w:rPr>
                <w:rFonts w:hint="eastAsia" w:ascii="宋体" w:hAnsi="宋体" w:eastAsia="宋体" w:cs="宋体"/>
                <w:szCs w:val="21"/>
              </w:rPr>
              <w:t>研究生招生人数</w:t>
            </w:r>
          </w:p>
        </w:tc>
        <w:tc>
          <w:tcPr>
            <w:tcW w:w="742" w:type="pct"/>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500" w:lineRule="atLeast"/>
              <w:jc w:val="center"/>
              <w:rPr>
                <w:rFonts w:ascii="宋体" w:hAnsi="宋体" w:eastAsia="宋体" w:cs="宋体"/>
                <w:szCs w:val="21"/>
              </w:rPr>
            </w:pPr>
            <w:r>
              <w:rPr>
                <w:rFonts w:hint="eastAsia" w:ascii="宋体" w:hAnsi="宋体" w:eastAsia="宋体"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4" w:hRule="atLeast"/>
        </w:trPr>
        <w:tc>
          <w:tcPr>
            <w:tcW w:w="1352" w:type="pct"/>
            <w:vMerge w:val="continue"/>
            <w:tcBorders>
              <w:left w:val="single" w:color="auto" w:sz="4" w:space="0"/>
              <w:right w:val="single" w:color="auto" w:sz="4" w:space="0"/>
            </w:tcBorders>
          </w:tcPr>
          <w:p>
            <w:pPr>
              <w:spacing w:line="500" w:lineRule="atLeast"/>
              <w:jc w:val="center"/>
              <w:rPr>
                <w:rFonts w:ascii="宋体" w:hAnsi="宋体" w:eastAsia="宋体" w:cs="宋体"/>
                <w:szCs w:val="21"/>
              </w:rPr>
            </w:pPr>
          </w:p>
        </w:tc>
        <w:tc>
          <w:tcPr>
            <w:tcW w:w="2905" w:type="pct"/>
            <w:vAlign w:val="center"/>
          </w:tcPr>
          <w:p>
            <w:pPr>
              <w:spacing w:line="500" w:lineRule="atLeast"/>
              <w:ind w:firstLine="630" w:firstLineChars="300"/>
              <w:textAlignment w:val="center"/>
              <w:rPr>
                <w:rFonts w:ascii="宋体" w:hAnsi="宋体" w:eastAsia="宋体" w:cs="宋体"/>
                <w:szCs w:val="21"/>
              </w:rPr>
            </w:pPr>
            <w:r>
              <w:rPr>
                <w:rFonts w:hint="eastAsia" w:ascii="宋体" w:hAnsi="宋体" w:eastAsia="宋体" w:cs="宋体"/>
                <w:szCs w:val="21"/>
              </w:rPr>
              <w:t>其中：全日制招生人数</w:t>
            </w:r>
          </w:p>
        </w:tc>
        <w:tc>
          <w:tcPr>
            <w:tcW w:w="742" w:type="pct"/>
            <w:vAlign w:val="center"/>
          </w:tcPr>
          <w:p>
            <w:pPr>
              <w:spacing w:line="500" w:lineRule="atLeast"/>
              <w:jc w:val="center"/>
              <w:rPr>
                <w:rFonts w:ascii="宋体" w:hAnsi="宋体" w:eastAsia="宋体" w:cs="宋体"/>
                <w:szCs w:val="21"/>
              </w:rPr>
            </w:pPr>
            <w:r>
              <w:rPr>
                <w:rFonts w:hint="eastAsia" w:ascii="宋体" w:hAnsi="宋体" w:eastAsia="宋体"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4" w:hRule="atLeast"/>
        </w:trPr>
        <w:tc>
          <w:tcPr>
            <w:tcW w:w="1352" w:type="pct"/>
            <w:vMerge w:val="continue"/>
            <w:tcBorders>
              <w:left w:val="single" w:color="auto" w:sz="4" w:space="0"/>
              <w:right w:val="single" w:color="auto" w:sz="4" w:space="0"/>
            </w:tcBorders>
          </w:tcPr>
          <w:p>
            <w:pPr>
              <w:spacing w:line="500" w:lineRule="atLeast"/>
              <w:jc w:val="center"/>
              <w:rPr>
                <w:rFonts w:ascii="宋体" w:hAnsi="宋体" w:eastAsia="宋体" w:cs="宋体"/>
                <w:szCs w:val="21"/>
              </w:rPr>
            </w:pPr>
          </w:p>
        </w:tc>
        <w:tc>
          <w:tcPr>
            <w:tcW w:w="2905" w:type="pct"/>
            <w:vAlign w:val="center"/>
          </w:tcPr>
          <w:p>
            <w:pPr>
              <w:spacing w:line="500" w:lineRule="atLeast"/>
              <w:ind w:firstLine="1050" w:firstLineChars="500"/>
              <w:textAlignment w:val="center"/>
              <w:rPr>
                <w:rFonts w:ascii="宋体" w:hAnsi="宋体" w:eastAsia="宋体" w:cs="宋体"/>
                <w:szCs w:val="21"/>
              </w:rPr>
            </w:pPr>
            <w:r>
              <w:rPr>
                <w:rFonts w:hint="eastAsia" w:ascii="宋体" w:hAnsi="宋体" w:eastAsia="宋体" w:cs="宋体"/>
                <w:szCs w:val="21"/>
              </w:rPr>
              <w:t>非全日制招生人数</w:t>
            </w:r>
          </w:p>
        </w:tc>
        <w:tc>
          <w:tcPr>
            <w:tcW w:w="742" w:type="pct"/>
            <w:vAlign w:val="center"/>
          </w:tcPr>
          <w:p>
            <w:pPr>
              <w:spacing w:line="500" w:lineRule="atLeast"/>
              <w:jc w:val="center"/>
              <w:rPr>
                <w:rFonts w:ascii="宋体" w:hAnsi="宋体" w:eastAsia="宋体" w:cs="宋体"/>
                <w:szCs w:val="21"/>
              </w:rPr>
            </w:pPr>
            <w:r>
              <w:rPr>
                <w:rFonts w:hint="eastAsia" w:ascii="宋体" w:hAnsi="宋体" w:eastAsia="宋体" w:cs="宋体"/>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4" w:hRule="atLeast"/>
        </w:trPr>
        <w:tc>
          <w:tcPr>
            <w:tcW w:w="1352" w:type="pct"/>
            <w:vMerge w:val="continue"/>
            <w:tcBorders>
              <w:left w:val="single" w:color="auto" w:sz="4" w:space="0"/>
              <w:right w:val="single" w:color="auto" w:sz="4" w:space="0"/>
            </w:tcBorders>
          </w:tcPr>
          <w:p>
            <w:pPr>
              <w:spacing w:line="500" w:lineRule="atLeast"/>
              <w:jc w:val="center"/>
              <w:rPr>
                <w:rFonts w:ascii="宋体" w:hAnsi="宋体" w:eastAsia="宋体" w:cs="宋体"/>
                <w:szCs w:val="21"/>
              </w:rPr>
            </w:pPr>
          </w:p>
        </w:tc>
        <w:tc>
          <w:tcPr>
            <w:tcW w:w="2905" w:type="pct"/>
            <w:vAlign w:val="center"/>
          </w:tcPr>
          <w:p>
            <w:pPr>
              <w:spacing w:line="500" w:lineRule="atLeast"/>
              <w:textAlignment w:val="center"/>
              <w:rPr>
                <w:rFonts w:ascii="宋体" w:hAnsi="宋体" w:eastAsia="宋体" w:cs="宋体"/>
                <w:szCs w:val="21"/>
              </w:rPr>
            </w:pPr>
            <w:r>
              <w:rPr>
                <w:rFonts w:hint="eastAsia" w:ascii="宋体" w:hAnsi="宋体" w:eastAsia="宋体" w:cs="宋体"/>
                <w:szCs w:val="21"/>
              </w:rPr>
              <w:t>招录学生中本科推免生人数</w:t>
            </w:r>
          </w:p>
        </w:tc>
        <w:tc>
          <w:tcPr>
            <w:tcW w:w="742" w:type="pct"/>
            <w:vAlign w:val="center"/>
          </w:tcPr>
          <w:p>
            <w:pPr>
              <w:spacing w:line="500" w:lineRule="atLeast"/>
              <w:jc w:val="center"/>
              <w:rPr>
                <w:rFonts w:ascii="宋体" w:hAnsi="宋体" w:eastAsia="宋体" w:cs="宋体"/>
                <w:szCs w:val="21"/>
              </w:rPr>
            </w:pPr>
            <w:r>
              <w:rPr>
                <w:rFonts w:hint="eastAsia" w:ascii="宋体" w:hAnsi="宋体" w:eastAsia="宋体" w:cs="宋体"/>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4" w:hRule="atLeast"/>
        </w:trPr>
        <w:tc>
          <w:tcPr>
            <w:tcW w:w="1352" w:type="pct"/>
            <w:vMerge w:val="continue"/>
            <w:tcBorders>
              <w:left w:val="single" w:color="auto" w:sz="4" w:space="0"/>
              <w:right w:val="single" w:color="auto" w:sz="4" w:space="0"/>
            </w:tcBorders>
          </w:tcPr>
          <w:p>
            <w:pPr>
              <w:spacing w:line="500" w:lineRule="atLeast"/>
              <w:jc w:val="center"/>
              <w:rPr>
                <w:rFonts w:ascii="宋体" w:hAnsi="宋体" w:eastAsia="宋体" w:cs="宋体"/>
                <w:szCs w:val="21"/>
              </w:rPr>
            </w:pPr>
          </w:p>
        </w:tc>
        <w:tc>
          <w:tcPr>
            <w:tcW w:w="2905" w:type="pct"/>
            <w:vAlign w:val="center"/>
          </w:tcPr>
          <w:p>
            <w:pPr>
              <w:spacing w:line="500" w:lineRule="atLeast"/>
              <w:textAlignment w:val="center"/>
              <w:rPr>
                <w:rFonts w:ascii="宋体" w:hAnsi="宋体" w:eastAsia="宋体" w:cs="宋体"/>
                <w:szCs w:val="21"/>
              </w:rPr>
            </w:pPr>
            <w:r>
              <w:rPr>
                <w:rFonts w:hint="eastAsia" w:ascii="宋体" w:hAnsi="宋体" w:eastAsia="宋体" w:cs="宋体"/>
                <w:szCs w:val="21"/>
              </w:rPr>
              <w:t>招录学生中普通招考人数</w:t>
            </w:r>
          </w:p>
        </w:tc>
        <w:tc>
          <w:tcPr>
            <w:tcW w:w="742" w:type="pct"/>
            <w:vAlign w:val="center"/>
          </w:tcPr>
          <w:p>
            <w:pPr>
              <w:spacing w:line="500" w:lineRule="atLeast"/>
              <w:jc w:val="center"/>
              <w:rPr>
                <w:rFonts w:ascii="宋体" w:hAnsi="宋体" w:eastAsia="宋体" w:cs="宋体"/>
                <w:szCs w:val="21"/>
              </w:rPr>
            </w:pPr>
            <w:r>
              <w:rPr>
                <w:rFonts w:hint="eastAsia" w:ascii="宋体" w:hAnsi="宋体" w:eastAsia="宋体" w:cs="宋体"/>
                <w:szCs w:val="21"/>
              </w:rPr>
              <w:t>1</w:t>
            </w:r>
          </w:p>
        </w:tc>
      </w:tr>
    </w:tbl>
    <w:p>
      <w:pPr>
        <w:spacing w:line="500" w:lineRule="atLeast"/>
        <w:rPr>
          <w:rFonts w:ascii="宋体" w:hAnsi="宋体" w:eastAsia="宋体"/>
          <w:sz w:val="24"/>
        </w:rPr>
      </w:pPr>
    </w:p>
    <w:p>
      <w:pPr>
        <w:pStyle w:val="16"/>
        <w:spacing w:line="500" w:lineRule="atLeast"/>
        <w:ind w:firstLine="640"/>
        <w:rPr>
          <w:rFonts w:ascii="仿宋" w:hAnsi="仿宋" w:eastAsia="仿宋" w:cs="仿宋"/>
          <w:sz w:val="32"/>
          <w:szCs w:val="32"/>
        </w:rPr>
      </w:pPr>
      <w:r>
        <w:rPr>
          <w:rFonts w:hint="eastAsia" w:ascii="仿宋" w:hAnsi="仿宋" w:eastAsia="仿宋" w:cs="仿宋"/>
          <w:sz w:val="32"/>
          <w:szCs w:val="32"/>
        </w:rPr>
        <w:t>4.课程教学</w:t>
      </w:r>
    </w:p>
    <w:p>
      <w:pPr>
        <w:spacing w:line="500" w:lineRule="atLeast"/>
        <w:ind w:firstLine="425"/>
        <w:rPr>
          <w:rFonts w:ascii="宋体" w:hAnsi="宋体" w:eastAsia="宋体"/>
          <w:b/>
          <w:bCs/>
          <w:sz w:val="24"/>
        </w:rPr>
      </w:pPr>
      <w:r>
        <w:rPr>
          <w:rFonts w:hint="eastAsia" w:ascii="宋体" w:hAnsi="宋体" w:eastAsia="宋体"/>
          <w:b/>
          <w:bCs/>
          <w:sz w:val="24"/>
        </w:rPr>
        <w:t>（1）课程体系与特色</w:t>
      </w:r>
    </w:p>
    <w:p>
      <w:pPr>
        <w:spacing w:line="500" w:lineRule="atLeast"/>
        <w:ind w:firstLine="425"/>
        <w:rPr>
          <w:rFonts w:ascii="宋体" w:hAnsi="宋体" w:eastAsia="宋体"/>
          <w:sz w:val="24"/>
        </w:rPr>
      </w:pPr>
      <w:r>
        <w:rPr>
          <w:rFonts w:hint="eastAsia" w:ascii="宋体" w:hAnsi="宋体" w:eastAsia="宋体"/>
          <w:sz w:val="24"/>
        </w:rPr>
        <w:t>本学位点三个方向的课程体系严格按照教育部《教育部关于改进和加强研究生课程建设的意见》(教研[2014]5号)等文件规定设置，并体现我校专业特色。金融学专业主要体现农村金融和小额信贷方面特色，其中《农村金融与普惠金融专题》为特色课程，通过邀请农村金融专家与涉农金融机构高管等共同授课体现农村金融与普惠金融专业特色；国际贸易学专业主要体现农产品贸易、两岸农业合作及农业对外合作的特色，其中《农产品贸易专题》不但体现农产品贸易特色，同时关注到近年来农业走出去战略的实施和研究，体现农林类院校国际贸易学专业服务“三农”的特色；区域经济学主要体现农村区域发展方面特色，其中《闽台合作专题》体现我校区域经济研究在海峡西岸区域特色与两岸研究的优势。同时，这些特色课程的选择不受专业限制，可以进一步突出本学位点研究生培养及学科研究特色。</w:t>
      </w:r>
    </w:p>
    <w:p>
      <w:pPr>
        <w:spacing w:line="500" w:lineRule="atLeast"/>
        <w:ind w:firstLine="425"/>
        <w:rPr>
          <w:rFonts w:ascii="宋体" w:hAnsi="宋体" w:eastAsia="宋体"/>
          <w:b/>
          <w:bCs/>
          <w:sz w:val="24"/>
        </w:rPr>
      </w:pPr>
      <w:r>
        <w:rPr>
          <w:rFonts w:hint="eastAsia" w:ascii="宋体" w:hAnsi="宋体" w:eastAsia="宋体"/>
          <w:b/>
          <w:bCs/>
          <w:sz w:val="24"/>
        </w:rPr>
        <w:t>（2）教学质量评价和档案管理</w:t>
      </w:r>
    </w:p>
    <w:p>
      <w:pPr>
        <w:spacing w:line="500" w:lineRule="atLeast"/>
        <w:ind w:firstLine="425"/>
        <w:rPr>
          <w:rFonts w:ascii="宋体" w:hAnsi="宋体" w:eastAsia="宋体"/>
          <w:sz w:val="24"/>
        </w:rPr>
      </w:pPr>
      <w:r>
        <w:rPr>
          <w:rFonts w:hint="eastAsia" w:ascii="宋体" w:hAnsi="宋体" w:eastAsia="宋体"/>
          <w:sz w:val="24"/>
        </w:rPr>
        <w:t>成立教学督导小组，由学院教授委员会和党政领导组成督导组随机听课，对教学设计、教学内容、教学方法手段和考核方式等方面做出评价,并填写《福建农林大学经济学院研究生教学督导情况登记表》，交学院存档。作为教学活动主要的组织者和实施者，开展教师的自评可以重视和发挥好教师评教作用，变被动监控为主动评价。任课老师课程结束填写《自评表》，总结学生学习与考核情况。规范考试流程与行为，教学档案专人专地保管。</w:t>
      </w:r>
    </w:p>
    <w:p>
      <w:pPr>
        <w:spacing w:line="500" w:lineRule="atLeast"/>
        <w:ind w:firstLine="425"/>
        <w:rPr>
          <w:rFonts w:ascii="宋体" w:hAnsi="宋体" w:eastAsia="宋体"/>
          <w:b/>
          <w:bCs/>
          <w:sz w:val="24"/>
        </w:rPr>
      </w:pPr>
      <w:r>
        <w:rPr>
          <w:rFonts w:hint="eastAsia" w:ascii="宋体" w:hAnsi="宋体" w:eastAsia="宋体"/>
          <w:b/>
          <w:bCs/>
          <w:sz w:val="24"/>
        </w:rPr>
        <w:t>（3）代表性课程</w:t>
      </w:r>
    </w:p>
    <w:p>
      <w:pPr>
        <w:spacing w:line="500" w:lineRule="atLeast"/>
        <w:ind w:firstLine="425"/>
        <w:jc w:val="center"/>
        <w:rPr>
          <w:rFonts w:ascii="宋体" w:hAnsi="宋体" w:eastAsia="宋体"/>
          <w:b/>
          <w:bCs/>
          <w:sz w:val="24"/>
        </w:rPr>
      </w:pPr>
      <w:r>
        <w:rPr>
          <w:rFonts w:hint="eastAsia" w:ascii="宋体" w:hAnsi="宋体" w:eastAsia="宋体"/>
          <w:b/>
          <w:bCs/>
          <w:sz w:val="24"/>
        </w:rPr>
        <w:t>表</w:t>
      </w:r>
      <w:r>
        <w:rPr>
          <w:rFonts w:ascii="宋体" w:hAnsi="宋体" w:eastAsia="宋体"/>
          <w:b/>
          <w:bCs/>
          <w:sz w:val="24"/>
        </w:rPr>
        <w:t>4</w:t>
      </w:r>
      <w:r>
        <w:rPr>
          <w:rFonts w:hint="eastAsia" w:ascii="宋体" w:hAnsi="宋体" w:eastAsia="宋体"/>
          <w:b/>
          <w:bCs/>
          <w:sz w:val="24"/>
        </w:rPr>
        <w:t xml:space="preserve"> 本学位点代表性课程</w:t>
      </w:r>
    </w:p>
    <w:tbl>
      <w:tblPr>
        <w:tblStyle w:val="1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8"/>
        <w:gridCol w:w="2626"/>
        <w:gridCol w:w="1019"/>
        <w:gridCol w:w="618"/>
        <w:gridCol w:w="2626"/>
        <w:gridCol w:w="10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368" w:type="pct"/>
            <w:noWrap/>
            <w:vAlign w:val="center"/>
          </w:tcPr>
          <w:p>
            <w:pPr>
              <w:spacing w:line="500" w:lineRule="atLeast"/>
              <w:jc w:val="center"/>
              <w:rPr>
                <w:rFonts w:ascii="宋体" w:hAnsi="宋体" w:eastAsia="宋体" w:cs="Arial"/>
                <w:szCs w:val="21"/>
              </w:rPr>
            </w:pPr>
            <w:r>
              <w:rPr>
                <w:rFonts w:hint="eastAsia" w:ascii="宋体" w:hAnsi="宋体" w:eastAsia="宋体" w:cs="Arial"/>
                <w:szCs w:val="21"/>
              </w:rPr>
              <w:t>序号</w:t>
            </w:r>
          </w:p>
        </w:tc>
        <w:tc>
          <w:tcPr>
            <w:tcW w:w="1580" w:type="pct"/>
            <w:noWrap/>
            <w:vAlign w:val="center"/>
          </w:tcPr>
          <w:p>
            <w:pPr>
              <w:spacing w:line="500" w:lineRule="atLeast"/>
              <w:jc w:val="center"/>
              <w:rPr>
                <w:rFonts w:ascii="宋体" w:hAnsi="宋体" w:eastAsia="宋体" w:cs="Arial"/>
                <w:szCs w:val="21"/>
              </w:rPr>
            </w:pPr>
            <w:r>
              <w:rPr>
                <w:rFonts w:hint="eastAsia" w:ascii="宋体" w:hAnsi="宋体" w:eastAsia="宋体" w:cs="Arial"/>
                <w:szCs w:val="21"/>
              </w:rPr>
              <w:t>课程名称</w:t>
            </w:r>
          </w:p>
        </w:tc>
        <w:tc>
          <w:tcPr>
            <w:tcW w:w="611" w:type="pct"/>
            <w:noWrap/>
            <w:vAlign w:val="center"/>
          </w:tcPr>
          <w:p>
            <w:pPr>
              <w:spacing w:line="500" w:lineRule="atLeast"/>
              <w:jc w:val="center"/>
              <w:rPr>
                <w:rFonts w:ascii="宋体" w:hAnsi="宋体" w:eastAsia="宋体" w:cs="Arial"/>
                <w:szCs w:val="21"/>
              </w:rPr>
            </w:pPr>
            <w:r>
              <w:rPr>
                <w:rFonts w:hint="eastAsia" w:ascii="宋体" w:hAnsi="宋体" w:eastAsia="宋体" w:cs="Arial"/>
                <w:szCs w:val="21"/>
              </w:rPr>
              <w:t>课程类型</w:t>
            </w:r>
          </w:p>
        </w:tc>
        <w:tc>
          <w:tcPr>
            <w:tcW w:w="368" w:type="pct"/>
            <w:noWrap/>
            <w:vAlign w:val="center"/>
          </w:tcPr>
          <w:p>
            <w:pPr>
              <w:spacing w:line="500" w:lineRule="atLeast"/>
              <w:jc w:val="center"/>
              <w:rPr>
                <w:rFonts w:ascii="宋体" w:hAnsi="宋体" w:eastAsia="宋体" w:cs="Arial"/>
                <w:szCs w:val="21"/>
              </w:rPr>
            </w:pPr>
            <w:r>
              <w:rPr>
                <w:rFonts w:hint="eastAsia" w:ascii="宋体" w:hAnsi="宋体" w:eastAsia="宋体" w:cs="Arial"/>
                <w:szCs w:val="21"/>
              </w:rPr>
              <w:t>学分</w:t>
            </w:r>
          </w:p>
        </w:tc>
        <w:tc>
          <w:tcPr>
            <w:tcW w:w="1459" w:type="pct"/>
            <w:noWrap/>
            <w:vAlign w:val="center"/>
          </w:tcPr>
          <w:p>
            <w:pPr>
              <w:spacing w:line="500" w:lineRule="atLeast"/>
              <w:jc w:val="center"/>
              <w:rPr>
                <w:rFonts w:ascii="宋体" w:hAnsi="宋体" w:eastAsia="宋体" w:cs="Arial"/>
                <w:szCs w:val="21"/>
              </w:rPr>
            </w:pPr>
            <w:r>
              <w:rPr>
                <w:rFonts w:hint="eastAsia" w:ascii="宋体" w:hAnsi="宋体" w:eastAsia="宋体" w:cs="Arial"/>
                <w:szCs w:val="21"/>
              </w:rPr>
              <w:t>授课教师</w:t>
            </w:r>
          </w:p>
        </w:tc>
        <w:tc>
          <w:tcPr>
            <w:tcW w:w="611" w:type="pct"/>
            <w:noWrap/>
            <w:vAlign w:val="center"/>
          </w:tcPr>
          <w:p>
            <w:pPr>
              <w:spacing w:line="500" w:lineRule="atLeast"/>
              <w:jc w:val="center"/>
              <w:rPr>
                <w:rFonts w:ascii="宋体" w:hAnsi="宋体" w:eastAsia="宋体" w:cs="Arial"/>
                <w:szCs w:val="21"/>
              </w:rPr>
            </w:pPr>
            <w:r>
              <w:rPr>
                <w:rFonts w:hint="eastAsia" w:ascii="宋体" w:hAnsi="宋体" w:eastAsia="宋体" w:cs="Arial"/>
                <w:szCs w:val="21"/>
              </w:rPr>
              <w:t>授课语言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368" w:type="pct"/>
            <w:noWrap/>
            <w:vAlign w:val="center"/>
          </w:tcPr>
          <w:p>
            <w:pPr>
              <w:spacing w:line="500" w:lineRule="atLeast"/>
              <w:jc w:val="center"/>
              <w:textAlignment w:val="center"/>
              <w:rPr>
                <w:rFonts w:ascii="宋体" w:hAnsi="宋体" w:eastAsia="宋体"/>
              </w:rPr>
            </w:pPr>
            <w:r>
              <w:rPr>
                <w:rFonts w:hint="eastAsia" w:ascii="宋体" w:hAnsi="宋体" w:eastAsia="宋体"/>
              </w:rPr>
              <w:t>1</w:t>
            </w:r>
          </w:p>
        </w:tc>
        <w:tc>
          <w:tcPr>
            <w:tcW w:w="1580" w:type="pct"/>
            <w:noWrap/>
            <w:vAlign w:val="center"/>
          </w:tcPr>
          <w:p>
            <w:pPr>
              <w:adjustRightInd w:val="0"/>
              <w:snapToGrid w:val="0"/>
              <w:spacing w:line="500" w:lineRule="atLeast"/>
              <w:jc w:val="center"/>
              <w:rPr>
                <w:rFonts w:ascii="宋体" w:hAnsi="宋体" w:eastAsia="宋体" w:cs="方正仿宋简体"/>
                <w:color w:val="000000"/>
                <w:szCs w:val="21"/>
              </w:rPr>
            </w:pPr>
            <w:r>
              <w:rPr>
                <w:rFonts w:hint="eastAsia" w:ascii="宋体" w:hAnsi="宋体" w:eastAsia="宋体" w:cs="方正仿宋简体"/>
                <w:color w:val="000000"/>
                <w:szCs w:val="21"/>
              </w:rPr>
              <w:t>中级微观经济学</w:t>
            </w:r>
          </w:p>
        </w:tc>
        <w:tc>
          <w:tcPr>
            <w:tcW w:w="611" w:type="pct"/>
            <w:noWrap/>
            <w:vAlign w:val="center"/>
          </w:tcPr>
          <w:p>
            <w:pPr>
              <w:adjustRightInd w:val="0"/>
              <w:snapToGrid w:val="0"/>
              <w:spacing w:line="500" w:lineRule="atLeast"/>
              <w:jc w:val="center"/>
              <w:rPr>
                <w:rFonts w:ascii="宋体" w:hAnsi="宋体" w:eastAsia="宋体" w:cs="方正仿宋简体"/>
                <w:color w:val="000000"/>
                <w:szCs w:val="21"/>
              </w:rPr>
            </w:pPr>
            <w:r>
              <w:rPr>
                <w:rFonts w:hint="eastAsia" w:ascii="宋体" w:hAnsi="宋体" w:eastAsia="宋体" w:cs="方正仿宋简体"/>
                <w:color w:val="000000"/>
                <w:szCs w:val="21"/>
              </w:rPr>
              <w:t>必修课</w:t>
            </w:r>
          </w:p>
        </w:tc>
        <w:tc>
          <w:tcPr>
            <w:tcW w:w="368" w:type="pct"/>
            <w:noWrap/>
            <w:vAlign w:val="center"/>
          </w:tcPr>
          <w:p>
            <w:pPr>
              <w:adjustRightInd w:val="0"/>
              <w:snapToGrid w:val="0"/>
              <w:spacing w:line="500" w:lineRule="atLeast"/>
              <w:jc w:val="center"/>
              <w:rPr>
                <w:rFonts w:ascii="宋体" w:hAnsi="宋体" w:eastAsia="宋体" w:cs="方正仿宋简体"/>
                <w:color w:val="000000"/>
                <w:szCs w:val="21"/>
              </w:rPr>
            </w:pPr>
            <w:r>
              <w:rPr>
                <w:rFonts w:hint="eastAsia" w:ascii="宋体" w:hAnsi="宋体" w:eastAsia="宋体" w:cs="方正仿宋简体"/>
                <w:color w:val="000000"/>
                <w:szCs w:val="21"/>
              </w:rPr>
              <w:t>2</w:t>
            </w:r>
          </w:p>
        </w:tc>
        <w:tc>
          <w:tcPr>
            <w:tcW w:w="1459" w:type="pct"/>
            <w:noWrap/>
            <w:vAlign w:val="center"/>
          </w:tcPr>
          <w:p>
            <w:pPr>
              <w:adjustRightInd w:val="0"/>
              <w:snapToGrid w:val="0"/>
              <w:spacing w:line="500" w:lineRule="atLeast"/>
              <w:jc w:val="center"/>
              <w:rPr>
                <w:rFonts w:ascii="宋体" w:hAnsi="宋体" w:eastAsia="宋体" w:cs="方正仿宋简体"/>
                <w:color w:val="000000"/>
                <w:szCs w:val="21"/>
              </w:rPr>
            </w:pPr>
            <w:r>
              <w:rPr>
                <w:rFonts w:hint="eastAsia" w:ascii="宋体" w:hAnsi="宋体" w:eastAsia="宋体" w:cs="方正仿宋简体"/>
                <w:color w:val="000000"/>
                <w:szCs w:val="21"/>
              </w:rPr>
              <w:t>黄和亮；管曦</w:t>
            </w:r>
          </w:p>
        </w:tc>
        <w:tc>
          <w:tcPr>
            <w:tcW w:w="611" w:type="pct"/>
            <w:noWrap/>
            <w:vAlign w:val="center"/>
          </w:tcPr>
          <w:p>
            <w:pPr>
              <w:adjustRightInd w:val="0"/>
              <w:snapToGrid w:val="0"/>
              <w:spacing w:line="500" w:lineRule="atLeast"/>
              <w:jc w:val="center"/>
              <w:rPr>
                <w:rFonts w:ascii="宋体" w:hAnsi="宋体" w:eastAsia="宋体" w:cs="方正仿宋简体"/>
                <w:color w:val="000000"/>
                <w:szCs w:val="21"/>
              </w:rPr>
            </w:pPr>
            <w:r>
              <w:rPr>
                <w:rFonts w:hint="eastAsia" w:ascii="宋体" w:hAnsi="宋体" w:eastAsia="宋体" w:cs="方正仿宋简体"/>
                <w:color w:val="000000"/>
                <w:szCs w:val="21"/>
              </w:rPr>
              <w:t>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368" w:type="pct"/>
            <w:noWrap/>
            <w:vAlign w:val="center"/>
          </w:tcPr>
          <w:p>
            <w:pPr>
              <w:spacing w:line="500" w:lineRule="atLeast"/>
              <w:jc w:val="center"/>
              <w:textAlignment w:val="center"/>
              <w:rPr>
                <w:rFonts w:ascii="宋体" w:hAnsi="宋体" w:eastAsia="宋体"/>
              </w:rPr>
            </w:pPr>
            <w:r>
              <w:rPr>
                <w:rFonts w:hint="eastAsia" w:ascii="宋体" w:hAnsi="宋体" w:eastAsia="宋体"/>
              </w:rPr>
              <w:t>2</w:t>
            </w:r>
          </w:p>
        </w:tc>
        <w:tc>
          <w:tcPr>
            <w:tcW w:w="1580" w:type="pct"/>
            <w:noWrap/>
            <w:vAlign w:val="center"/>
          </w:tcPr>
          <w:p>
            <w:pPr>
              <w:adjustRightInd w:val="0"/>
              <w:snapToGrid w:val="0"/>
              <w:spacing w:line="500" w:lineRule="atLeast"/>
              <w:jc w:val="center"/>
              <w:rPr>
                <w:rFonts w:ascii="宋体" w:hAnsi="宋体" w:eastAsia="宋体" w:cs="方正仿宋简体"/>
                <w:color w:val="000000"/>
                <w:szCs w:val="21"/>
              </w:rPr>
            </w:pPr>
            <w:r>
              <w:rPr>
                <w:rFonts w:hint="eastAsia" w:ascii="宋体" w:hAnsi="宋体" w:eastAsia="宋体" w:cs="方正仿宋简体"/>
                <w:color w:val="000000"/>
                <w:szCs w:val="21"/>
              </w:rPr>
              <w:t>中级宏观经济学</w:t>
            </w:r>
          </w:p>
        </w:tc>
        <w:tc>
          <w:tcPr>
            <w:tcW w:w="611" w:type="pct"/>
            <w:noWrap/>
            <w:vAlign w:val="center"/>
          </w:tcPr>
          <w:p>
            <w:pPr>
              <w:adjustRightInd w:val="0"/>
              <w:snapToGrid w:val="0"/>
              <w:spacing w:line="500" w:lineRule="atLeast"/>
              <w:jc w:val="center"/>
              <w:rPr>
                <w:rFonts w:ascii="宋体" w:hAnsi="宋体" w:eastAsia="宋体" w:cs="方正仿宋简体"/>
                <w:color w:val="000000"/>
                <w:szCs w:val="21"/>
              </w:rPr>
            </w:pPr>
            <w:r>
              <w:rPr>
                <w:rFonts w:hint="eastAsia" w:ascii="宋体" w:hAnsi="宋体" w:eastAsia="宋体" w:cs="方正仿宋简体"/>
                <w:color w:val="000000"/>
                <w:szCs w:val="21"/>
              </w:rPr>
              <w:t>必修课</w:t>
            </w:r>
          </w:p>
        </w:tc>
        <w:tc>
          <w:tcPr>
            <w:tcW w:w="368" w:type="pct"/>
            <w:noWrap/>
            <w:vAlign w:val="center"/>
          </w:tcPr>
          <w:p>
            <w:pPr>
              <w:adjustRightInd w:val="0"/>
              <w:snapToGrid w:val="0"/>
              <w:spacing w:line="500" w:lineRule="atLeast"/>
              <w:jc w:val="center"/>
              <w:rPr>
                <w:rFonts w:ascii="宋体" w:hAnsi="宋体" w:eastAsia="宋体" w:cs="方正仿宋简体"/>
                <w:color w:val="000000"/>
                <w:szCs w:val="21"/>
              </w:rPr>
            </w:pPr>
            <w:r>
              <w:rPr>
                <w:rFonts w:hint="eastAsia" w:ascii="宋体" w:hAnsi="宋体" w:eastAsia="宋体" w:cs="方正仿宋简体"/>
                <w:color w:val="000000"/>
                <w:szCs w:val="21"/>
              </w:rPr>
              <w:t>2</w:t>
            </w:r>
          </w:p>
        </w:tc>
        <w:tc>
          <w:tcPr>
            <w:tcW w:w="1459" w:type="pct"/>
            <w:noWrap/>
            <w:vAlign w:val="center"/>
          </w:tcPr>
          <w:p>
            <w:pPr>
              <w:adjustRightInd w:val="0"/>
              <w:snapToGrid w:val="0"/>
              <w:spacing w:line="500" w:lineRule="atLeast"/>
              <w:jc w:val="center"/>
              <w:rPr>
                <w:rFonts w:ascii="宋体" w:hAnsi="宋体" w:eastAsia="宋体" w:cs="方正仿宋简体"/>
                <w:color w:val="000000"/>
                <w:szCs w:val="21"/>
              </w:rPr>
            </w:pPr>
            <w:r>
              <w:rPr>
                <w:rFonts w:hint="eastAsia" w:ascii="宋体" w:hAnsi="宋体" w:eastAsia="宋体" w:cs="方正仿宋简体"/>
                <w:color w:val="000000"/>
                <w:szCs w:val="21"/>
              </w:rPr>
              <w:t>苏志庆</w:t>
            </w:r>
          </w:p>
        </w:tc>
        <w:tc>
          <w:tcPr>
            <w:tcW w:w="611" w:type="pct"/>
            <w:noWrap/>
            <w:vAlign w:val="center"/>
          </w:tcPr>
          <w:p>
            <w:pPr>
              <w:adjustRightInd w:val="0"/>
              <w:snapToGrid w:val="0"/>
              <w:spacing w:line="500" w:lineRule="atLeast"/>
              <w:jc w:val="center"/>
              <w:rPr>
                <w:rFonts w:ascii="宋体" w:hAnsi="宋体" w:eastAsia="宋体" w:cs="方正仿宋简体"/>
                <w:color w:val="000000"/>
                <w:szCs w:val="21"/>
              </w:rPr>
            </w:pPr>
            <w:r>
              <w:rPr>
                <w:rFonts w:hint="eastAsia" w:ascii="宋体" w:hAnsi="宋体" w:eastAsia="宋体" w:cs="方正仿宋简体"/>
                <w:color w:val="000000"/>
                <w:szCs w:val="21"/>
              </w:rPr>
              <w:t>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368" w:type="pct"/>
            <w:noWrap/>
            <w:vAlign w:val="center"/>
          </w:tcPr>
          <w:p>
            <w:pPr>
              <w:spacing w:line="500" w:lineRule="atLeast"/>
              <w:jc w:val="center"/>
              <w:textAlignment w:val="center"/>
              <w:rPr>
                <w:rFonts w:ascii="宋体" w:hAnsi="宋体" w:eastAsia="宋体"/>
              </w:rPr>
            </w:pPr>
            <w:r>
              <w:rPr>
                <w:rFonts w:hint="eastAsia" w:ascii="宋体" w:hAnsi="宋体" w:eastAsia="宋体"/>
              </w:rPr>
              <w:t>3</w:t>
            </w:r>
          </w:p>
        </w:tc>
        <w:tc>
          <w:tcPr>
            <w:tcW w:w="1580" w:type="pct"/>
            <w:noWrap/>
            <w:vAlign w:val="center"/>
          </w:tcPr>
          <w:p>
            <w:pPr>
              <w:adjustRightInd w:val="0"/>
              <w:snapToGrid w:val="0"/>
              <w:spacing w:line="500" w:lineRule="atLeast"/>
              <w:jc w:val="center"/>
              <w:rPr>
                <w:rFonts w:ascii="宋体" w:hAnsi="宋体" w:eastAsia="宋体" w:cs="方正仿宋简体"/>
                <w:color w:val="000000"/>
                <w:szCs w:val="21"/>
              </w:rPr>
            </w:pPr>
            <w:r>
              <w:rPr>
                <w:rFonts w:hint="eastAsia" w:ascii="宋体" w:hAnsi="宋体" w:eastAsia="宋体" w:cs="方正仿宋简体"/>
                <w:color w:val="000000"/>
                <w:szCs w:val="21"/>
              </w:rPr>
              <w:t>中级计量经济学</w:t>
            </w:r>
          </w:p>
        </w:tc>
        <w:tc>
          <w:tcPr>
            <w:tcW w:w="611" w:type="pct"/>
            <w:noWrap/>
            <w:vAlign w:val="center"/>
          </w:tcPr>
          <w:p>
            <w:pPr>
              <w:adjustRightInd w:val="0"/>
              <w:snapToGrid w:val="0"/>
              <w:spacing w:line="500" w:lineRule="atLeast"/>
              <w:jc w:val="center"/>
              <w:rPr>
                <w:rFonts w:ascii="宋体" w:hAnsi="宋体" w:eastAsia="宋体" w:cs="方正仿宋简体"/>
                <w:color w:val="000000"/>
                <w:szCs w:val="21"/>
              </w:rPr>
            </w:pPr>
            <w:r>
              <w:rPr>
                <w:rFonts w:hint="eastAsia" w:ascii="宋体" w:hAnsi="宋体" w:eastAsia="宋体" w:cs="方正仿宋简体"/>
                <w:color w:val="000000"/>
                <w:szCs w:val="21"/>
              </w:rPr>
              <w:t>必修课</w:t>
            </w:r>
          </w:p>
        </w:tc>
        <w:tc>
          <w:tcPr>
            <w:tcW w:w="368" w:type="pct"/>
            <w:noWrap/>
            <w:vAlign w:val="center"/>
          </w:tcPr>
          <w:p>
            <w:pPr>
              <w:adjustRightInd w:val="0"/>
              <w:snapToGrid w:val="0"/>
              <w:spacing w:line="500" w:lineRule="atLeast"/>
              <w:jc w:val="center"/>
              <w:rPr>
                <w:rFonts w:ascii="宋体" w:hAnsi="宋体" w:eastAsia="宋体" w:cs="方正仿宋简体"/>
                <w:color w:val="000000"/>
                <w:szCs w:val="21"/>
              </w:rPr>
            </w:pPr>
            <w:r>
              <w:rPr>
                <w:rFonts w:hint="eastAsia" w:ascii="宋体" w:hAnsi="宋体" w:eastAsia="宋体" w:cs="方正仿宋简体"/>
                <w:color w:val="000000"/>
                <w:szCs w:val="21"/>
              </w:rPr>
              <w:t>3</w:t>
            </w:r>
          </w:p>
        </w:tc>
        <w:tc>
          <w:tcPr>
            <w:tcW w:w="1459" w:type="pct"/>
            <w:noWrap/>
            <w:vAlign w:val="center"/>
          </w:tcPr>
          <w:p>
            <w:pPr>
              <w:adjustRightInd w:val="0"/>
              <w:snapToGrid w:val="0"/>
              <w:spacing w:line="500" w:lineRule="atLeast"/>
              <w:jc w:val="center"/>
              <w:rPr>
                <w:rFonts w:ascii="宋体" w:hAnsi="宋体" w:eastAsia="宋体" w:cs="方正仿宋简体"/>
                <w:color w:val="000000"/>
                <w:szCs w:val="21"/>
              </w:rPr>
            </w:pPr>
            <w:r>
              <w:rPr>
                <w:rFonts w:hint="eastAsia" w:ascii="宋体" w:hAnsi="宋体" w:eastAsia="宋体" w:cs="方正仿宋简体"/>
                <w:color w:val="000000"/>
                <w:szCs w:val="21"/>
              </w:rPr>
              <w:t>苏志庆；邓衡山</w:t>
            </w:r>
          </w:p>
        </w:tc>
        <w:tc>
          <w:tcPr>
            <w:tcW w:w="611" w:type="pct"/>
            <w:noWrap/>
            <w:vAlign w:val="center"/>
          </w:tcPr>
          <w:p>
            <w:pPr>
              <w:adjustRightInd w:val="0"/>
              <w:snapToGrid w:val="0"/>
              <w:spacing w:line="500" w:lineRule="atLeast"/>
              <w:jc w:val="center"/>
              <w:rPr>
                <w:rFonts w:ascii="宋体" w:hAnsi="宋体" w:eastAsia="宋体" w:cs="方正仿宋简体"/>
                <w:color w:val="000000"/>
                <w:szCs w:val="21"/>
              </w:rPr>
            </w:pPr>
            <w:r>
              <w:rPr>
                <w:rFonts w:hint="eastAsia" w:ascii="宋体" w:hAnsi="宋体" w:eastAsia="宋体" w:cs="方正仿宋简体"/>
                <w:color w:val="000000"/>
                <w:szCs w:val="21"/>
              </w:rPr>
              <w:t>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368" w:type="pct"/>
            <w:noWrap/>
            <w:vAlign w:val="center"/>
          </w:tcPr>
          <w:p>
            <w:pPr>
              <w:spacing w:line="500" w:lineRule="atLeast"/>
              <w:jc w:val="center"/>
              <w:textAlignment w:val="center"/>
              <w:rPr>
                <w:rFonts w:ascii="宋体" w:hAnsi="宋体" w:eastAsia="宋体"/>
              </w:rPr>
            </w:pPr>
            <w:r>
              <w:rPr>
                <w:rFonts w:hint="eastAsia" w:ascii="宋体" w:hAnsi="宋体" w:eastAsia="宋体"/>
              </w:rPr>
              <w:t>4</w:t>
            </w:r>
          </w:p>
        </w:tc>
        <w:tc>
          <w:tcPr>
            <w:tcW w:w="1580" w:type="pct"/>
            <w:noWrap/>
            <w:vAlign w:val="center"/>
          </w:tcPr>
          <w:p>
            <w:pPr>
              <w:adjustRightInd w:val="0"/>
              <w:snapToGrid w:val="0"/>
              <w:spacing w:line="500" w:lineRule="atLeast"/>
              <w:jc w:val="center"/>
              <w:rPr>
                <w:rFonts w:ascii="宋体" w:hAnsi="宋体" w:eastAsia="宋体" w:cs="方正仿宋简体"/>
                <w:color w:val="000000"/>
                <w:szCs w:val="21"/>
              </w:rPr>
            </w:pPr>
            <w:r>
              <w:rPr>
                <w:rFonts w:hint="eastAsia" w:ascii="宋体" w:hAnsi="宋体" w:eastAsia="宋体" w:cs="方正仿宋简体"/>
                <w:color w:val="000000"/>
                <w:szCs w:val="21"/>
              </w:rPr>
              <w:t>专业英语</w:t>
            </w:r>
          </w:p>
        </w:tc>
        <w:tc>
          <w:tcPr>
            <w:tcW w:w="611" w:type="pct"/>
            <w:noWrap/>
            <w:vAlign w:val="center"/>
          </w:tcPr>
          <w:p>
            <w:pPr>
              <w:adjustRightInd w:val="0"/>
              <w:snapToGrid w:val="0"/>
              <w:spacing w:line="500" w:lineRule="atLeast"/>
              <w:jc w:val="center"/>
              <w:rPr>
                <w:rFonts w:ascii="宋体" w:hAnsi="宋体" w:eastAsia="宋体" w:cs="方正仿宋简体"/>
                <w:color w:val="000000"/>
                <w:szCs w:val="21"/>
              </w:rPr>
            </w:pPr>
            <w:r>
              <w:rPr>
                <w:rFonts w:hint="eastAsia" w:ascii="宋体" w:hAnsi="宋体" w:eastAsia="宋体" w:cs="方正仿宋简体"/>
                <w:color w:val="000000"/>
                <w:szCs w:val="21"/>
              </w:rPr>
              <w:t>必修课</w:t>
            </w:r>
          </w:p>
        </w:tc>
        <w:tc>
          <w:tcPr>
            <w:tcW w:w="368" w:type="pct"/>
            <w:noWrap/>
            <w:vAlign w:val="center"/>
          </w:tcPr>
          <w:p>
            <w:pPr>
              <w:adjustRightInd w:val="0"/>
              <w:snapToGrid w:val="0"/>
              <w:spacing w:line="500" w:lineRule="atLeast"/>
              <w:jc w:val="center"/>
              <w:rPr>
                <w:rFonts w:ascii="宋体" w:hAnsi="宋体" w:eastAsia="宋体" w:cs="方正仿宋简体"/>
                <w:color w:val="000000"/>
                <w:szCs w:val="21"/>
              </w:rPr>
            </w:pPr>
            <w:r>
              <w:rPr>
                <w:rFonts w:hint="eastAsia" w:ascii="宋体" w:hAnsi="宋体" w:eastAsia="宋体" w:cs="方正仿宋简体"/>
                <w:color w:val="000000"/>
                <w:szCs w:val="21"/>
              </w:rPr>
              <w:t>1</w:t>
            </w:r>
          </w:p>
        </w:tc>
        <w:tc>
          <w:tcPr>
            <w:tcW w:w="1459" w:type="pct"/>
            <w:noWrap/>
            <w:vAlign w:val="center"/>
          </w:tcPr>
          <w:p>
            <w:pPr>
              <w:adjustRightInd w:val="0"/>
              <w:snapToGrid w:val="0"/>
              <w:spacing w:line="500" w:lineRule="atLeast"/>
              <w:jc w:val="center"/>
              <w:rPr>
                <w:rFonts w:ascii="宋体" w:hAnsi="宋体" w:eastAsia="宋体" w:cs="方正仿宋简体"/>
                <w:color w:val="000000"/>
                <w:szCs w:val="21"/>
              </w:rPr>
            </w:pPr>
            <w:r>
              <w:rPr>
                <w:rFonts w:hint="eastAsia" w:ascii="宋体" w:hAnsi="宋体" w:eastAsia="宋体" w:cs="方正仿宋简体"/>
                <w:color w:val="000000"/>
                <w:szCs w:val="21"/>
              </w:rPr>
              <w:t>庄佩芬</w:t>
            </w:r>
          </w:p>
        </w:tc>
        <w:tc>
          <w:tcPr>
            <w:tcW w:w="611" w:type="pct"/>
            <w:noWrap/>
            <w:vAlign w:val="center"/>
          </w:tcPr>
          <w:p>
            <w:pPr>
              <w:adjustRightInd w:val="0"/>
              <w:snapToGrid w:val="0"/>
              <w:spacing w:line="500" w:lineRule="atLeast"/>
              <w:jc w:val="center"/>
              <w:rPr>
                <w:rFonts w:ascii="宋体" w:hAnsi="宋体" w:eastAsia="宋体" w:cs="方正仿宋简体"/>
                <w:color w:val="000000"/>
                <w:szCs w:val="21"/>
              </w:rPr>
            </w:pPr>
            <w:r>
              <w:rPr>
                <w:rFonts w:hint="eastAsia" w:ascii="宋体" w:hAnsi="宋体" w:eastAsia="宋体" w:cs="方正仿宋简体"/>
                <w:color w:val="000000"/>
                <w:szCs w:val="21"/>
              </w:rPr>
              <w:t>英文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368" w:type="pct"/>
            <w:noWrap/>
            <w:vAlign w:val="center"/>
          </w:tcPr>
          <w:p>
            <w:pPr>
              <w:spacing w:line="500" w:lineRule="atLeast"/>
              <w:jc w:val="center"/>
              <w:textAlignment w:val="center"/>
              <w:rPr>
                <w:rFonts w:ascii="宋体" w:hAnsi="宋体" w:eastAsia="宋体"/>
              </w:rPr>
            </w:pPr>
            <w:r>
              <w:rPr>
                <w:rFonts w:hint="eastAsia" w:ascii="宋体" w:hAnsi="宋体" w:eastAsia="宋体"/>
              </w:rPr>
              <w:t>5</w:t>
            </w:r>
          </w:p>
        </w:tc>
        <w:tc>
          <w:tcPr>
            <w:tcW w:w="1580" w:type="pct"/>
            <w:noWrap/>
            <w:vAlign w:val="center"/>
          </w:tcPr>
          <w:p>
            <w:pPr>
              <w:adjustRightInd w:val="0"/>
              <w:snapToGrid w:val="0"/>
              <w:spacing w:line="500" w:lineRule="atLeast"/>
              <w:jc w:val="center"/>
              <w:rPr>
                <w:rFonts w:ascii="宋体" w:hAnsi="宋体" w:eastAsia="宋体" w:cs="方正仿宋简体"/>
                <w:color w:val="000000"/>
                <w:szCs w:val="21"/>
              </w:rPr>
            </w:pPr>
            <w:r>
              <w:rPr>
                <w:rFonts w:hint="eastAsia" w:ascii="宋体" w:hAnsi="宋体" w:eastAsia="宋体" w:cs="方正仿宋简体"/>
                <w:color w:val="000000"/>
                <w:szCs w:val="21"/>
              </w:rPr>
              <w:t>数理经济学</w:t>
            </w:r>
          </w:p>
        </w:tc>
        <w:tc>
          <w:tcPr>
            <w:tcW w:w="611" w:type="pct"/>
            <w:noWrap/>
            <w:vAlign w:val="center"/>
          </w:tcPr>
          <w:p>
            <w:pPr>
              <w:adjustRightInd w:val="0"/>
              <w:snapToGrid w:val="0"/>
              <w:spacing w:line="500" w:lineRule="atLeast"/>
              <w:jc w:val="center"/>
              <w:rPr>
                <w:rFonts w:ascii="宋体" w:hAnsi="宋体" w:eastAsia="宋体" w:cs="方正仿宋简体"/>
                <w:color w:val="000000"/>
                <w:szCs w:val="21"/>
              </w:rPr>
            </w:pPr>
            <w:r>
              <w:rPr>
                <w:rFonts w:hint="eastAsia" w:ascii="宋体" w:hAnsi="宋体" w:eastAsia="宋体" w:cs="方正仿宋简体"/>
                <w:color w:val="000000"/>
                <w:szCs w:val="21"/>
              </w:rPr>
              <w:t>必修课</w:t>
            </w:r>
          </w:p>
        </w:tc>
        <w:tc>
          <w:tcPr>
            <w:tcW w:w="368" w:type="pct"/>
            <w:noWrap/>
            <w:vAlign w:val="center"/>
          </w:tcPr>
          <w:p>
            <w:pPr>
              <w:adjustRightInd w:val="0"/>
              <w:snapToGrid w:val="0"/>
              <w:spacing w:line="500" w:lineRule="atLeast"/>
              <w:jc w:val="center"/>
              <w:rPr>
                <w:rFonts w:ascii="宋体" w:hAnsi="宋体" w:eastAsia="宋体" w:cs="方正仿宋简体"/>
                <w:color w:val="000000"/>
                <w:szCs w:val="21"/>
              </w:rPr>
            </w:pPr>
            <w:r>
              <w:rPr>
                <w:rFonts w:hint="eastAsia" w:ascii="宋体" w:hAnsi="宋体" w:eastAsia="宋体" w:cs="方正仿宋简体"/>
                <w:color w:val="000000"/>
                <w:szCs w:val="21"/>
              </w:rPr>
              <w:t>3</w:t>
            </w:r>
          </w:p>
        </w:tc>
        <w:tc>
          <w:tcPr>
            <w:tcW w:w="1459" w:type="pct"/>
            <w:noWrap/>
            <w:vAlign w:val="center"/>
          </w:tcPr>
          <w:p>
            <w:pPr>
              <w:adjustRightInd w:val="0"/>
              <w:snapToGrid w:val="0"/>
              <w:spacing w:line="500" w:lineRule="atLeast"/>
              <w:jc w:val="center"/>
              <w:rPr>
                <w:rFonts w:ascii="宋体" w:hAnsi="宋体" w:eastAsia="宋体" w:cs="方正仿宋简体"/>
                <w:color w:val="000000"/>
                <w:szCs w:val="21"/>
              </w:rPr>
            </w:pPr>
            <w:r>
              <w:rPr>
                <w:rFonts w:hint="eastAsia" w:ascii="宋体" w:hAnsi="宋体" w:eastAsia="宋体" w:cs="方正仿宋简体"/>
                <w:color w:val="000000"/>
                <w:szCs w:val="21"/>
              </w:rPr>
              <w:t>李坤明</w:t>
            </w:r>
          </w:p>
        </w:tc>
        <w:tc>
          <w:tcPr>
            <w:tcW w:w="611" w:type="pct"/>
            <w:noWrap/>
            <w:vAlign w:val="center"/>
          </w:tcPr>
          <w:p>
            <w:pPr>
              <w:adjustRightInd w:val="0"/>
              <w:snapToGrid w:val="0"/>
              <w:spacing w:line="500" w:lineRule="atLeast"/>
              <w:jc w:val="center"/>
              <w:rPr>
                <w:rFonts w:ascii="宋体" w:hAnsi="宋体" w:eastAsia="宋体" w:cs="方正仿宋简体"/>
                <w:color w:val="000000"/>
                <w:szCs w:val="21"/>
              </w:rPr>
            </w:pPr>
            <w:r>
              <w:rPr>
                <w:rFonts w:hint="eastAsia" w:ascii="宋体" w:hAnsi="宋体" w:eastAsia="宋体" w:cs="方正仿宋简体"/>
                <w:color w:val="000000"/>
                <w:szCs w:val="21"/>
              </w:rPr>
              <w:t>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368" w:type="pct"/>
            <w:noWrap/>
            <w:vAlign w:val="center"/>
          </w:tcPr>
          <w:p>
            <w:pPr>
              <w:spacing w:line="500" w:lineRule="atLeast"/>
              <w:jc w:val="center"/>
              <w:textAlignment w:val="center"/>
              <w:rPr>
                <w:rFonts w:ascii="宋体" w:hAnsi="宋体" w:eastAsia="宋体"/>
              </w:rPr>
            </w:pPr>
            <w:r>
              <w:rPr>
                <w:rFonts w:hint="eastAsia" w:ascii="宋体" w:hAnsi="宋体" w:eastAsia="宋体"/>
              </w:rPr>
              <w:t>6</w:t>
            </w:r>
          </w:p>
        </w:tc>
        <w:tc>
          <w:tcPr>
            <w:tcW w:w="1580" w:type="pct"/>
            <w:noWrap/>
            <w:vAlign w:val="center"/>
          </w:tcPr>
          <w:p>
            <w:pPr>
              <w:adjustRightInd w:val="0"/>
              <w:snapToGrid w:val="0"/>
              <w:spacing w:line="500" w:lineRule="atLeast"/>
              <w:jc w:val="center"/>
              <w:rPr>
                <w:rFonts w:ascii="宋体" w:hAnsi="宋体" w:eastAsia="宋体" w:cs="方正仿宋简体"/>
                <w:color w:val="000000"/>
                <w:szCs w:val="21"/>
              </w:rPr>
            </w:pPr>
            <w:r>
              <w:rPr>
                <w:rFonts w:hint="eastAsia" w:ascii="宋体" w:hAnsi="宋体" w:eastAsia="宋体" w:cs="方正仿宋简体"/>
                <w:color w:val="000000"/>
                <w:szCs w:val="21"/>
              </w:rPr>
              <w:t>农产品贸易专题</w:t>
            </w:r>
          </w:p>
        </w:tc>
        <w:tc>
          <w:tcPr>
            <w:tcW w:w="611" w:type="pct"/>
            <w:noWrap/>
            <w:vAlign w:val="center"/>
          </w:tcPr>
          <w:p>
            <w:pPr>
              <w:adjustRightInd w:val="0"/>
              <w:snapToGrid w:val="0"/>
              <w:spacing w:line="500" w:lineRule="atLeast"/>
              <w:jc w:val="center"/>
              <w:rPr>
                <w:rFonts w:ascii="宋体" w:hAnsi="宋体" w:eastAsia="宋体" w:cs="方正仿宋简体"/>
                <w:color w:val="000000"/>
                <w:szCs w:val="21"/>
              </w:rPr>
            </w:pPr>
            <w:r>
              <w:rPr>
                <w:rFonts w:hint="eastAsia" w:ascii="宋体" w:hAnsi="宋体" w:eastAsia="宋体" w:cs="方正仿宋简体"/>
                <w:color w:val="000000"/>
                <w:szCs w:val="21"/>
              </w:rPr>
              <w:t>必修课</w:t>
            </w:r>
          </w:p>
        </w:tc>
        <w:tc>
          <w:tcPr>
            <w:tcW w:w="368" w:type="pct"/>
            <w:noWrap/>
            <w:vAlign w:val="center"/>
          </w:tcPr>
          <w:p>
            <w:pPr>
              <w:adjustRightInd w:val="0"/>
              <w:snapToGrid w:val="0"/>
              <w:spacing w:line="500" w:lineRule="atLeast"/>
              <w:jc w:val="center"/>
              <w:rPr>
                <w:rFonts w:ascii="宋体" w:hAnsi="宋体" w:eastAsia="宋体" w:cs="方正仿宋简体"/>
                <w:color w:val="000000"/>
                <w:szCs w:val="21"/>
              </w:rPr>
            </w:pPr>
            <w:r>
              <w:rPr>
                <w:rFonts w:hint="eastAsia" w:ascii="宋体" w:hAnsi="宋体" w:eastAsia="宋体" w:cs="方正仿宋简体"/>
                <w:color w:val="000000"/>
                <w:szCs w:val="21"/>
              </w:rPr>
              <w:t>2</w:t>
            </w:r>
          </w:p>
        </w:tc>
        <w:tc>
          <w:tcPr>
            <w:tcW w:w="1459" w:type="pct"/>
            <w:noWrap/>
            <w:vAlign w:val="center"/>
          </w:tcPr>
          <w:p>
            <w:pPr>
              <w:adjustRightInd w:val="0"/>
              <w:snapToGrid w:val="0"/>
              <w:spacing w:line="500" w:lineRule="atLeast"/>
              <w:jc w:val="center"/>
              <w:rPr>
                <w:rFonts w:ascii="宋体" w:hAnsi="宋体" w:eastAsia="宋体" w:cs="方正仿宋简体"/>
                <w:color w:val="000000"/>
                <w:szCs w:val="21"/>
              </w:rPr>
            </w:pPr>
            <w:r>
              <w:rPr>
                <w:rFonts w:hint="eastAsia" w:ascii="宋体" w:hAnsi="宋体" w:eastAsia="宋体" w:cs="方正仿宋简体"/>
                <w:color w:val="000000"/>
                <w:szCs w:val="21"/>
              </w:rPr>
              <w:t>庄佩芬；何均琳</w:t>
            </w:r>
          </w:p>
        </w:tc>
        <w:tc>
          <w:tcPr>
            <w:tcW w:w="611" w:type="pct"/>
            <w:noWrap/>
            <w:vAlign w:val="center"/>
          </w:tcPr>
          <w:p>
            <w:pPr>
              <w:adjustRightInd w:val="0"/>
              <w:snapToGrid w:val="0"/>
              <w:spacing w:line="500" w:lineRule="atLeast"/>
              <w:jc w:val="center"/>
              <w:rPr>
                <w:rFonts w:ascii="宋体" w:hAnsi="宋体" w:eastAsia="宋体" w:cs="方正仿宋简体"/>
                <w:color w:val="000000"/>
                <w:szCs w:val="21"/>
              </w:rPr>
            </w:pPr>
            <w:r>
              <w:rPr>
                <w:rFonts w:hint="eastAsia" w:ascii="宋体" w:hAnsi="宋体" w:eastAsia="宋体" w:cs="方正仿宋简体"/>
                <w:color w:val="000000"/>
                <w:szCs w:val="21"/>
              </w:rPr>
              <w:t>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368" w:type="pct"/>
            <w:noWrap/>
            <w:vAlign w:val="center"/>
          </w:tcPr>
          <w:p>
            <w:pPr>
              <w:spacing w:line="500" w:lineRule="atLeast"/>
              <w:jc w:val="center"/>
              <w:textAlignment w:val="center"/>
              <w:rPr>
                <w:rFonts w:ascii="宋体" w:hAnsi="宋体" w:eastAsia="宋体"/>
              </w:rPr>
            </w:pPr>
            <w:r>
              <w:rPr>
                <w:rFonts w:hint="eastAsia" w:ascii="宋体" w:hAnsi="宋体" w:eastAsia="宋体"/>
              </w:rPr>
              <w:t>7</w:t>
            </w:r>
          </w:p>
        </w:tc>
        <w:tc>
          <w:tcPr>
            <w:tcW w:w="1580" w:type="pct"/>
            <w:noWrap/>
            <w:vAlign w:val="center"/>
          </w:tcPr>
          <w:p>
            <w:pPr>
              <w:adjustRightInd w:val="0"/>
              <w:snapToGrid w:val="0"/>
              <w:spacing w:line="500" w:lineRule="atLeast"/>
              <w:jc w:val="center"/>
              <w:rPr>
                <w:rFonts w:ascii="宋体" w:hAnsi="宋体" w:eastAsia="宋体" w:cs="方正仿宋简体"/>
                <w:color w:val="000000"/>
                <w:szCs w:val="21"/>
              </w:rPr>
            </w:pPr>
            <w:r>
              <w:rPr>
                <w:rFonts w:hint="eastAsia" w:ascii="宋体" w:hAnsi="宋体" w:eastAsia="宋体" w:cs="方正仿宋简体"/>
                <w:color w:val="000000"/>
                <w:szCs w:val="21"/>
              </w:rPr>
              <w:t>区域经济学</w:t>
            </w:r>
          </w:p>
        </w:tc>
        <w:tc>
          <w:tcPr>
            <w:tcW w:w="611" w:type="pct"/>
            <w:noWrap/>
            <w:vAlign w:val="center"/>
          </w:tcPr>
          <w:p>
            <w:pPr>
              <w:adjustRightInd w:val="0"/>
              <w:snapToGrid w:val="0"/>
              <w:spacing w:line="500" w:lineRule="atLeast"/>
              <w:jc w:val="center"/>
              <w:rPr>
                <w:rFonts w:ascii="宋体" w:hAnsi="宋体" w:eastAsia="宋体" w:cs="方正仿宋简体"/>
                <w:color w:val="000000"/>
                <w:szCs w:val="21"/>
              </w:rPr>
            </w:pPr>
            <w:r>
              <w:rPr>
                <w:rFonts w:hint="eastAsia" w:ascii="宋体" w:hAnsi="宋体" w:eastAsia="宋体" w:cs="方正仿宋简体"/>
                <w:color w:val="000000"/>
                <w:szCs w:val="21"/>
              </w:rPr>
              <w:t>必修课</w:t>
            </w:r>
          </w:p>
        </w:tc>
        <w:tc>
          <w:tcPr>
            <w:tcW w:w="368" w:type="pct"/>
            <w:noWrap/>
            <w:vAlign w:val="center"/>
          </w:tcPr>
          <w:p>
            <w:pPr>
              <w:adjustRightInd w:val="0"/>
              <w:snapToGrid w:val="0"/>
              <w:spacing w:line="500" w:lineRule="atLeast"/>
              <w:jc w:val="center"/>
              <w:rPr>
                <w:rFonts w:ascii="宋体" w:hAnsi="宋体" w:eastAsia="宋体" w:cs="方正仿宋简体"/>
                <w:color w:val="000000"/>
                <w:szCs w:val="21"/>
              </w:rPr>
            </w:pPr>
            <w:r>
              <w:rPr>
                <w:rFonts w:hint="eastAsia" w:ascii="宋体" w:hAnsi="宋体" w:eastAsia="宋体" w:cs="方正仿宋简体"/>
                <w:color w:val="000000"/>
                <w:szCs w:val="21"/>
              </w:rPr>
              <w:t>3</w:t>
            </w:r>
          </w:p>
        </w:tc>
        <w:tc>
          <w:tcPr>
            <w:tcW w:w="1459" w:type="pct"/>
            <w:noWrap/>
            <w:vAlign w:val="center"/>
          </w:tcPr>
          <w:p>
            <w:pPr>
              <w:adjustRightInd w:val="0"/>
              <w:snapToGrid w:val="0"/>
              <w:spacing w:line="500" w:lineRule="atLeast"/>
              <w:jc w:val="center"/>
              <w:rPr>
                <w:rFonts w:ascii="宋体" w:hAnsi="宋体" w:eastAsia="宋体" w:cs="方正仿宋简体"/>
                <w:color w:val="000000"/>
                <w:szCs w:val="21"/>
              </w:rPr>
            </w:pPr>
            <w:r>
              <w:rPr>
                <w:rFonts w:hint="eastAsia" w:ascii="宋体" w:hAnsi="宋体" w:eastAsia="宋体" w:cs="方正仿宋简体"/>
                <w:color w:val="000000"/>
                <w:szCs w:val="21"/>
              </w:rPr>
              <w:t>管曦</w:t>
            </w:r>
          </w:p>
        </w:tc>
        <w:tc>
          <w:tcPr>
            <w:tcW w:w="611" w:type="pct"/>
            <w:noWrap/>
            <w:vAlign w:val="center"/>
          </w:tcPr>
          <w:p>
            <w:pPr>
              <w:adjustRightInd w:val="0"/>
              <w:snapToGrid w:val="0"/>
              <w:spacing w:line="500" w:lineRule="atLeast"/>
              <w:jc w:val="center"/>
              <w:rPr>
                <w:rFonts w:ascii="宋体" w:hAnsi="宋体" w:eastAsia="宋体" w:cs="方正仿宋简体"/>
                <w:color w:val="000000"/>
                <w:szCs w:val="21"/>
              </w:rPr>
            </w:pPr>
            <w:r>
              <w:rPr>
                <w:rFonts w:hint="eastAsia" w:ascii="宋体" w:hAnsi="宋体" w:eastAsia="宋体" w:cs="方正仿宋简体"/>
                <w:color w:val="000000"/>
                <w:szCs w:val="21"/>
              </w:rPr>
              <w:t>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368" w:type="pct"/>
            <w:noWrap/>
            <w:vAlign w:val="center"/>
          </w:tcPr>
          <w:p>
            <w:pPr>
              <w:spacing w:line="500" w:lineRule="atLeast"/>
              <w:jc w:val="center"/>
              <w:textAlignment w:val="center"/>
              <w:rPr>
                <w:rFonts w:ascii="宋体" w:hAnsi="宋体" w:eastAsia="宋体"/>
              </w:rPr>
            </w:pPr>
            <w:r>
              <w:rPr>
                <w:rFonts w:hint="eastAsia" w:ascii="宋体" w:hAnsi="宋体" w:eastAsia="宋体"/>
              </w:rPr>
              <w:t>8</w:t>
            </w:r>
          </w:p>
        </w:tc>
        <w:tc>
          <w:tcPr>
            <w:tcW w:w="1580" w:type="pct"/>
            <w:noWrap/>
            <w:vAlign w:val="center"/>
          </w:tcPr>
          <w:p>
            <w:pPr>
              <w:adjustRightInd w:val="0"/>
              <w:snapToGrid w:val="0"/>
              <w:spacing w:line="500" w:lineRule="atLeast"/>
              <w:jc w:val="center"/>
              <w:rPr>
                <w:rFonts w:ascii="宋体" w:hAnsi="宋体" w:eastAsia="宋体" w:cs="方正仿宋简体"/>
                <w:color w:val="000000"/>
                <w:szCs w:val="21"/>
              </w:rPr>
            </w:pPr>
            <w:r>
              <w:rPr>
                <w:rFonts w:hint="eastAsia" w:ascii="宋体" w:hAnsi="宋体" w:eastAsia="宋体" w:cs="方正仿宋简体"/>
                <w:color w:val="000000"/>
                <w:szCs w:val="21"/>
              </w:rPr>
              <w:t>应用经济学研究方法论</w:t>
            </w:r>
          </w:p>
        </w:tc>
        <w:tc>
          <w:tcPr>
            <w:tcW w:w="611" w:type="pct"/>
            <w:noWrap/>
            <w:vAlign w:val="center"/>
          </w:tcPr>
          <w:p>
            <w:pPr>
              <w:adjustRightInd w:val="0"/>
              <w:snapToGrid w:val="0"/>
              <w:spacing w:line="500" w:lineRule="atLeast"/>
              <w:jc w:val="center"/>
              <w:rPr>
                <w:rFonts w:ascii="宋体" w:hAnsi="宋体" w:eastAsia="宋体" w:cs="方正仿宋简体"/>
                <w:color w:val="000000"/>
                <w:szCs w:val="21"/>
              </w:rPr>
            </w:pPr>
            <w:r>
              <w:rPr>
                <w:rFonts w:hint="eastAsia" w:ascii="宋体" w:hAnsi="宋体" w:eastAsia="宋体" w:cs="方正仿宋简体"/>
                <w:color w:val="000000"/>
                <w:szCs w:val="21"/>
              </w:rPr>
              <w:t>必修课</w:t>
            </w:r>
          </w:p>
        </w:tc>
        <w:tc>
          <w:tcPr>
            <w:tcW w:w="368" w:type="pct"/>
            <w:noWrap/>
            <w:vAlign w:val="center"/>
          </w:tcPr>
          <w:p>
            <w:pPr>
              <w:adjustRightInd w:val="0"/>
              <w:snapToGrid w:val="0"/>
              <w:spacing w:line="500" w:lineRule="atLeast"/>
              <w:jc w:val="center"/>
              <w:rPr>
                <w:rFonts w:ascii="宋体" w:hAnsi="宋体" w:eastAsia="宋体" w:cs="方正仿宋简体"/>
                <w:color w:val="000000"/>
                <w:szCs w:val="21"/>
              </w:rPr>
            </w:pPr>
            <w:r>
              <w:rPr>
                <w:rFonts w:hint="eastAsia" w:ascii="宋体" w:hAnsi="宋体" w:eastAsia="宋体" w:cs="方正仿宋简体"/>
                <w:color w:val="000000"/>
                <w:szCs w:val="21"/>
              </w:rPr>
              <w:t>2</w:t>
            </w:r>
          </w:p>
        </w:tc>
        <w:tc>
          <w:tcPr>
            <w:tcW w:w="1459" w:type="pct"/>
            <w:noWrap/>
            <w:vAlign w:val="center"/>
          </w:tcPr>
          <w:p>
            <w:pPr>
              <w:adjustRightInd w:val="0"/>
              <w:snapToGrid w:val="0"/>
              <w:spacing w:line="500" w:lineRule="atLeast"/>
              <w:jc w:val="center"/>
              <w:rPr>
                <w:rFonts w:ascii="宋体" w:hAnsi="宋体" w:eastAsia="宋体" w:cs="方正仿宋简体"/>
                <w:color w:val="000000"/>
                <w:szCs w:val="21"/>
              </w:rPr>
            </w:pPr>
            <w:r>
              <w:rPr>
                <w:rFonts w:hint="eastAsia" w:ascii="宋体" w:hAnsi="宋体" w:eastAsia="宋体" w:cs="方正仿宋简体"/>
                <w:color w:val="000000"/>
                <w:szCs w:val="21"/>
              </w:rPr>
              <w:t>王文烂；宁满秀</w:t>
            </w:r>
          </w:p>
        </w:tc>
        <w:tc>
          <w:tcPr>
            <w:tcW w:w="611" w:type="pct"/>
            <w:noWrap/>
            <w:vAlign w:val="center"/>
          </w:tcPr>
          <w:p>
            <w:pPr>
              <w:adjustRightInd w:val="0"/>
              <w:snapToGrid w:val="0"/>
              <w:spacing w:line="500" w:lineRule="atLeast"/>
              <w:jc w:val="center"/>
              <w:rPr>
                <w:rFonts w:ascii="宋体" w:hAnsi="宋体" w:eastAsia="宋体" w:cs="方正仿宋简体"/>
                <w:color w:val="000000"/>
                <w:szCs w:val="21"/>
              </w:rPr>
            </w:pPr>
            <w:r>
              <w:rPr>
                <w:rFonts w:hint="eastAsia" w:ascii="宋体" w:hAnsi="宋体" w:eastAsia="宋体" w:cs="方正仿宋简体"/>
                <w:color w:val="000000"/>
                <w:szCs w:val="21"/>
              </w:rPr>
              <w:t>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368" w:type="pct"/>
            <w:noWrap/>
            <w:vAlign w:val="center"/>
          </w:tcPr>
          <w:p>
            <w:pPr>
              <w:spacing w:line="500" w:lineRule="atLeast"/>
              <w:jc w:val="center"/>
              <w:textAlignment w:val="center"/>
              <w:rPr>
                <w:rFonts w:ascii="宋体" w:hAnsi="宋体" w:eastAsia="宋体"/>
              </w:rPr>
            </w:pPr>
            <w:r>
              <w:rPr>
                <w:rFonts w:hint="eastAsia" w:ascii="宋体" w:hAnsi="宋体" w:eastAsia="宋体"/>
              </w:rPr>
              <w:t>9</w:t>
            </w:r>
          </w:p>
        </w:tc>
        <w:tc>
          <w:tcPr>
            <w:tcW w:w="1580" w:type="pct"/>
            <w:noWrap/>
            <w:vAlign w:val="center"/>
          </w:tcPr>
          <w:p>
            <w:pPr>
              <w:adjustRightInd w:val="0"/>
              <w:snapToGrid w:val="0"/>
              <w:spacing w:line="500" w:lineRule="atLeast"/>
              <w:jc w:val="center"/>
              <w:rPr>
                <w:rFonts w:ascii="宋体" w:hAnsi="宋体" w:eastAsia="宋体" w:cs="方正仿宋简体"/>
                <w:color w:val="000000"/>
                <w:szCs w:val="21"/>
              </w:rPr>
            </w:pPr>
            <w:r>
              <w:rPr>
                <w:rFonts w:hint="eastAsia" w:ascii="宋体" w:hAnsi="宋体" w:eastAsia="宋体" w:cs="方正仿宋简体"/>
                <w:color w:val="000000"/>
                <w:szCs w:val="21"/>
              </w:rPr>
              <w:t>统计分析</w:t>
            </w:r>
          </w:p>
        </w:tc>
        <w:tc>
          <w:tcPr>
            <w:tcW w:w="611" w:type="pct"/>
            <w:noWrap/>
            <w:vAlign w:val="center"/>
          </w:tcPr>
          <w:p>
            <w:pPr>
              <w:adjustRightInd w:val="0"/>
              <w:snapToGrid w:val="0"/>
              <w:spacing w:line="500" w:lineRule="atLeast"/>
              <w:jc w:val="center"/>
              <w:rPr>
                <w:rFonts w:ascii="宋体" w:hAnsi="宋体" w:eastAsia="宋体" w:cs="方正仿宋简体"/>
                <w:color w:val="000000"/>
                <w:szCs w:val="21"/>
              </w:rPr>
            </w:pPr>
            <w:r>
              <w:rPr>
                <w:rFonts w:hint="eastAsia" w:ascii="宋体" w:hAnsi="宋体" w:eastAsia="宋体" w:cs="方正仿宋简体"/>
                <w:color w:val="000000"/>
                <w:szCs w:val="21"/>
              </w:rPr>
              <w:t>必修课</w:t>
            </w:r>
          </w:p>
        </w:tc>
        <w:tc>
          <w:tcPr>
            <w:tcW w:w="368" w:type="pct"/>
            <w:noWrap/>
            <w:vAlign w:val="center"/>
          </w:tcPr>
          <w:p>
            <w:pPr>
              <w:adjustRightInd w:val="0"/>
              <w:snapToGrid w:val="0"/>
              <w:spacing w:line="500" w:lineRule="atLeast"/>
              <w:jc w:val="center"/>
              <w:rPr>
                <w:rFonts w:ascii="宋体" w:hAnsi="宋体" w:eastAsia="宋体" w:cs="方正仿宋简体"/>
                <w:color w:val="000000"/>
                <w:szCs w:val="21"/>
              </w:rPr>
            </w:pPr>
            <w:r>
              <w:rPr>
                <w:rFonts w:hint="eastAsia" w:ascii="宋体" w:hAnsi="宋体" w:eastAsia="宋体" w:cs="方正仿宋简体"/>
                <w:color w:val="000000"/>
                <w:szCs w:val="21"/>
              </w:rPr>
              <w:t>2</w:t>
            </w:r>
          </w:p>
        </w:tc>
        <w:tc>
          <w:tcPr>
            <w:tcW w:w="1459" w:type="pct"/>
            <w:noWrap/>
            <w:vAlign w:val="center"/>
          </w:tcPr>
          <w:p>
            <w:pPr>
              <w:adjustRightInd w:val="0"/>
              <w:snapToGrid w:val="0"/>
              <w:spacing w:line="500" w:lineRule="atLeast"/>
              <w:jc w:val="center"/>
              <w:rPr>
                <w:rFonts w:ascii="宋体" w:hAnsi="宋体" w:eastAsia="宋体" w:cs="方正仿宋简体"/>
                <w:color w:val="000000"/>
                <w:szCs w:val="21"/>
              </w:rPr>
            </w:pPr>
            <w:r>
              <w:rPr>
                <w:rFonts w:hint="eastAsia" w:ascii="宋体" w:hAnsi="宋体" w:eastAsia="宋体" w:cs="方正仿宋简体"/>
                <w:color w:val="000000"/>
                <w:szCs w:val="21"/>
              </w:rPr>
              <w:t>李坤明</w:t>
            </w:r>
          </w:p>
        </w:tc>
        <w:tc>
          <w:tcPr>
            <w:tcW w:w="611" w:type="pct"/>
            <w:noWrap/>
            <w:vAlign w:val="center"/>
          </w:tcPr>
          <w:p>
            <w:pPr>
              <w:adjustRightInd w:val="0"/>
              <w:snapToGrid w:val="0"/>
              <w:spacing w:line="500" w:lineRule="atLeast"/>
              <w:jc w:val="center"/>
              <w:rPr>
                <w:rFonts w:ascii="宋体" w:hAnsi="宋体" w:eastAsia="宋体" w:cs="方正仿宋简体"/>
                <w:color w:val="000000"/>
                <w:szCs w:val="21"/>
              </w:rPr>
            </w:pPr>
            <w:r>
              <w:rPr>
                <w:rFonts w:hint="eastAsia" w:ascii="宋体" w:hAnsi="宋体" w:eastAsia="宋体" w:cs="方正仿宋简体"/>
                <w:color w:val="000000"/>
                <w:szCs w:val="21"/>
              </w:rPr>
              <w:t>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368" w:type="pct"/>
            <w:noWrap/>
            <w:vAlign w:val="center"/>
          </w:tcPr>
          <w:p>
            <w:pPr>
              <w:spacing w:line="500" w:lineRule="atLeast"/>
              <w:jc w:val="center"/>
              <w:textAlignment w:val="center"/>
              <w:rPr>
                <w:rFonts w:ascii="宋体" w:hAnsi="宋体" w:eastAsia="宋体"/>
              </w:rPr>
            </w:pPr>
            <w:r>
              <w:rPr>
                <w:rFonts w:hint="eastAsia" w:ascii="宋体" w:hAnsi="宋体" w:eastAsia="宋体"/>
              </w:rPr>
              <w:t>1</w:t>
            </w:r>
            <w:r>
              <w:rPr>
                <w:rFonts w:ascii="宋体" w:hAnsi="宋体" w:eastAsia="宋体"/>
              </w:rPr>
              <w:t>0</w:t>
            </w:r>
          </w:p>
        </w:tc>
        <w:tc>
          <w:tcPr>
            <w:tcW w:w="1580" w:type="pct"/>
            <w:noWrap/>
            <w:vAlign w:val="center"/>
          </w:tcPr>
          <w:p>
            <w:pPr>
              <w:adjustRightInd w:val="0"/>
              <w:snapToGrid w:val="0"/>
              <w:spacing w:line="500" w:lineRule="atLeast"/>
              <w:jc w:val="center"/>
              <w:rPr>
                <w:rFonts w:ascii="宋体" w:hAnsi="宋体" w:eastAsia="宋体" w:cs="方正仿宋简体"/>
                <w:color w:val="000000"/>
                <w:szCs w:val="21"/>
              </w:rPr>
            </w:pPr>
            <w:r>
              <w:rPr>
                <w:rFonts w:hint="eastAsia" w:ascii="宋体" w:hAnsi="宋体" w:eastAsia="宋体" w:cs="方正仿宋简体"/>
                <w:color w:val="000000"/>
                <w:szCs w:val="21"/>
              </w:rPr>
              <w:t>金融经济学</w:t>
            </w:r>
          </w:p>
        </w:tc>
        <w:tc>
          <w:tcPr>
            <w:tcW w:w="611" w:type="pct"/>
            <w:noWrap/>
            <w:vAlign w:val="center"/>
          </w:tcPr>
          <w:p>
            <w:pPr>
              <w:adjustRightInd w:val="0"/>
              <w:snapToGrid w:val="0"/>
              <w:spacing w:line="500" w:lineRule="atLeast"/>
              <w:jc w:val="center"/>
              <w:rPr>
                <w:rFonts w:ascii="宋体" w:hAnsi="宋体" w:eastAsia="宋体" w:cs="方正仿宋简体"/>
                <w:color w:val="000000"/>
                <w:szCs w:val="21"/>
              </w:rPr>
            </w:pPr>
            <w:r>
              <w:rPr>
                <w:rFonts w:hint="eastAsia" w:ascii="宋体" w:hAnsi="宋体" w:eastAsia="宋体" w:cs="方正仿宋简体"/>
                <w:color w:val="000000"/>
                <w:szCs w:val="21"/>
              </w:rPr>
              <w:t>必修课</w:t>
            </w:r>
          </w:p>
        </w:tc>
        <w:tc>
          <w:tcPr>
            <w:tcW w:w="368" w:type="pct"/>
            <w:noWrap/>
            <w:vAlign w:val="center"/>
          </w:tcPr>
          <w:p>
            <w:pPr>
              <w:adjustRightInd w:val="0"/>
              <w:snapToGrid w:val="0"/>
              <w:spacing w:line="500" w:lineRule="atLeast"/>
              <w:jc w:val="center"/>
              <w:rPr>
                <w:rFonts w:ascii="宋体" w:hAnsi="宋体" w:eastAsia="宋体" w:cs="方正仿宋简体"/>
                <w:color w:val="000000"/>
                <w:szCs w:val="21"/>
              </w:rPr>
            </w:pPr>
            <w:r>
              <w:rPr>
                <w:rFonts w:hint="eastAsia" w:ascii="宋体" w:hAnsi="宋体" w:eastAsia="宋体" w:cs="方正仿宋简体"/>
                <w:color w:val="000000"/>
                <w:szCs w:val="21"/>
              </w:rPr>
              <w:t>2</w:t>
            </w:r>
          </w:p>
        </w:tc>
        <w:tc>
          <w:tcPr>
            <w:tcW w:w="1459" w:type="pct"/>
            <w:noWrap/>
            <w:vAlign w:val="center"/>
          </w:tcPr>
          <w:p>
            <w:pPr>
              <w:adjustRightInd w:val="0"/>
              <w:snapToGrid w:val="0"/>
              <w:spacing w:line="500" w:lineRule="atLeast"/>
              <w:jc w:val="center"/>
              <w:rPr>
                <w:rFonts w:ascii="宋体" w:hAnsi="宋体" w:eastAsia="宋体" w:cs="方正仿宋简体"/>
                <w:color w:val="000000"/>
                <w:szCs w:val="21"/>
              </w:rPr>
            </w:pPr>
            <w:r>
              <w:rPr>
                <w:rFonts w:hint="eastAsia" w:ascii="宋体" w:hAnsi="宋体" w:eastAsia="宋体" w:cs="方正仿宋简体"/>
                <w:color w:val="000000"/>
                <w:szCs w:val="21"/>
              </w:rPr>
              <w:t>李坤明</w:t>
            </w:r>
          </w:p>
        </w:tc>
        <w:tc>
          <w:tcPr>
            <w:tcW w:w="611" w:type="pct"/>
            <w:noWrap/>
            <w:vAlign w:val="center"/>
          </w:tcPr>
          <w:p>
            <w:pPr>
              <w:adjustRightInd w:val="0"/>
              <w:snapToGrid w:val="0"/>
              <w:spacing w:line="500" w:lineRule="atLeast"/>
              <w:jc w:val="center"/>
              <w:rPr>
                <w:rFonts w:ascii="宋体" w:hAnsi="宋体" w:eastAsia="宋体" w:cs="方正仿宋简体"/>
                <w:color w:val="000000"/>
                <w:szCs w:val="21"/>
              </w:rPr>
            </w:pPr>
            <w:r>
              <w:rPr>
                <w:rFonts w:hint="eastAsia" w:ascii="宋体" w:hAnsi="宋体" w:eastAsia="宋体" w:cs="方正仿宋简体"/>
                <w:color w:val="000000"/>
                <w:szCs w:val="21"/>
              </w:rPr>
              <w:t>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368" w:type="pct"/>
            <w:noWrap/>
            <w:vAlign w:val="center"/>
          </w:tcPr>
          <w:p>
            <w:pPr>
              <w:spacing w:line="500" w:lineRule="atLeast"/>
              <w:jc w:val="center"/>
              <w:textAlignment w:val="center"/>
              <w:rPr>
                <w:rFonts w:ascii="宋体" w:hAnsi="宋体" w:eastAsia="宋体"/>
              </w:rPr>
            </w:pPr>
            <w:r>
              <w:rPr>
                <w:rFonts w:hint="eastAsia" w:ascii="宋体" w:hAnsi="宋体" w:eastAsia="宋体"/>
              </w:rPr>
              <w:t>1</w:t>
            </w:r>
            <w:r>
              <w:rPr>
                <w:rFonts w:ascii="宋体" w:hAnsi="宋体" w:eastAsia="宋体"/>
              </w:rPr>
              <w:t>1</w:t>
            </w:r>
          </w:p>
        </w:tc>
        <w:tc>
          <w:tcPr>
            <w:tcW w:w="1580" w:type="pct"/>
            <w:noWrap/>
            <w:vAlign w:val="center"/>
          </w:tcPr>
          <w:p>
            <w:pPr>
              <w:adjustRightInd w:val="0"/>
              <w:snapToGrid w:val="0"/>
              <w:spacing w:line="500" w:lineRule="atLeast"/>
              <w:jc w:val="center"/>
              <w:rPr>
                <w:rFonts w:ascii="宋体" w:hAnsi="宋体" w:eastAsia="宋体" w:cs="方正仿宋简体"/>
                <w:color w:val="000000"/>
                <w:szCs w:val="21"/>
              </w:rPr>
            </w:pPr>
            <w:r>
              <w:rPr>
                <w:rFonts w:hint="eastAsia" w:ascii="宋体" w:hAnsi="宋体" w:eastAsia="宋体" w:cs="方正仿宋简体"/>
                <w:color w:val="000000"/>
                <w:szCs w:val="21"/>
              </w:rPr>
              <w:t>农村金融与普惠金融专题</w:t>
            </w:r>
          </w:p>
        </w:tc>
        <w:tc>
          <w:tcPr>
            <w:tcW w:w="611" w:type="pct"/>
            <w:noWrap/>
            <w:vAlign w:val="center"/>
          </w:tcPr>
          <w:p>
            <w:pPr>
              <w:adjustRightInd w:val="0"/>
              <w:snapToGrid w:val="0"/>
              <w:spacing w:line="500" w:lineRule="atLeast"/>
              <w:jc w:val="center"/>
              <w:rPr>
                <w:rFonts w:ascii="宋体" w:hAnsi="宋体" w:eastAsia="宋体" w:cs="方正仿宋简体"/>
                <w:color w:val="000000"/>
                <w:szCs w:val="21"/>
              </w:rPr>
            </w:pPr>
            <w:r>
              <w:rPr>
                <w:rFonts w:hint="eastAsia" w:ascii="宋体" w:hAnsi="宋体" w:eastAsia="宋体" w:cs="方正仿宋简体"/>
                <w:color w:val="000000"/>
                <w:szCs w:val="21"/>
              </w:rPr>
              <w:t>必修课</w:t>
            </w:r>
          </w:p>
        </w:tc>
        <w:tc>
          <w:tcPr>
            <w:tcW w:w="368" w:type="pct"/>
            <w:noWrap/>
            <w:vAlign w:val="center"/>
          </w:tcPr>
          <w:p>
            <w:pPr>
              <w:adjustRightInd w:val="0"/>
              <w:snapToGrid w:val="0"/>
              <w:spacing w:line="500" w:lineRule="atLeast"/>
              <w:jc w:val="center"/>
              <w:rPr>
                <w:rFonts w:ascii="宋体" w:hAnsi="宋体" w:eastAsia="宋体" w:cs="方正仿宋简体"/>
                <w:color w:val="000000"/>
                <w:szCs w:val="21"/>
              </w:rPr>
            </w:pPr>
            <w:r>
              <w:rPr>
                <w:rFonts w:hint="eastAsia" w:ascii="宋体" w:hAnsi="宋体" w:eastAsia="宋体" w:cs="方正仿宋简体"/>
                <w:color w:val="000000"/>
                <w:szCs w:val="21"/>
              </w:rPr>
              <w:t>2</w:t>
            </w:r>
          </w:p>
        </w:tc>
        <w:tc>
          <w:tcPr>
            <w:tcW w:w="1459" w:type="pct"/>
            <w:noWrap/>
            <w:vAlign w:val="center"/>
          </w:tcPr>
          <w:p>
            <w:pPr>
              <w:adjustRightInd w:val="0"/>
              <w:snapToGrid w:val="0"/>
              <w:spacing w:line="500" w:lineRule="atLeast"/>
              <w:jc w:val="center"/>
              <w:rPr>
                <w:rFonts w:ascii="宋体" w:hAnsi="宋体" w:eastAsia="宋体" w:cs="方正仿宋简体"/>
                <w:color w:val="000000"/>
                <w:szCs w:val="21"/>
              </w:rPr>
            </w:pPr>
            <w:r>
              <w:rPr>
                <w:rFonts w:hint="eastAsia" w:ascii="宋体" w:hAnsi="宋体" w:eastAsia="宋体" w:cs="方正仿宋简体"/>
                <w:color w:val="000000"/>
                <w:szCs w:val="21"/>
              </w:rPr>
              <w:t>林丽琼；刘剑雄；郭慧文等</w:t>
            </w:r>
          </w:p>
        </w:tc>
        <w:tc>
          <w:tcPr>
            <w:tcW w:w="611" w:type="pct"/>
            <w:noWrap/>
            <w:vAlign w:val="center"/>
          </w:tcPr>
          <w:p>
            <w:pPr>
              <w:adjustRightInd w:val="0"/>
              <w:snapToGrid w:val="0"/>
              <w:spacing w:line="500" w:lineRule="atLeast"/>
              <w:jc w:val="center"/>
              <w:rPr>
                <w:rFonts w:ascii="宋体" w:hAnsi="宋体" w:eastAsia="宋体" w:cs="方正仿宋简体"/>
                <w:color w:val="000000"/>
                <w:szCs w:val="21"/>
              </w:rPr>
            </w:pPr>
            <w:r>
              <w:rPr>
                <w:rFonts w:hint="eastAsia" w:ascii="宋体" w:hAnsi="宋体" w:eastAsia="宋体" w:cs="方正仿宋简体"/>
                <w:color w:val="000000"/>
                <w:szCs w:val="21"/>
              </w:rPr>
              <w:t>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368" w:type="pct"/>
            <w:noWrap/>
            <w:vAlign w:val="center"/>
          </w:tcPr>
          <w:p>
            <w:pPr>
              <w:spacing w:line="500" w:lineRule="atLeast"/>
              <w:jc w:val="center"/>
              <w:textAlignment w:val="center"/>
              <w:rPr>
                <w:rFonts w:ascii="宋体" w:hAnsi="宋体" w:eastAsia="宋体"/>
              </w:rPr>
            </w:pPr>
            <w:r>
              <w:rPr>
                <w:rFonts w:hint="eastAsia" w:ascii="宋体" w:hAnsi="宋体" w:eastAsia="宋体"/>
              </w:rPr>
              <w:t>1</w:t>
            </w:r>
            <w:r>
              <w:rPr>
                <w:rFonts w:ascii="宋体" w:hAnsi="宋体" w:eastAsia="宋体"/>
              </w:rPr>
              <w:t>2</w:t>
            </w:r>
          </w:p>
        </w:tc>
        <w:tc>
          <w:tcPr>
            <w:tcW w:w="1580" w:type="pct"/>
            <w:noWrap/>
            <w:vAlign w:val="center"/>
          </w:tcPr>
          <w:p>
            <w:pPr>
              <w:adjustRightInd w:val="0"/>
              <w:snapToGrid w:val="0"/>
              <w:spacing w:line="500" w:lineRule="atLeast"/>
              <w:jc w:val="center"/>
              <w:rPr>
                <w:rFonts w:ascii="宋体" w:hAnsi="宋体" w:eastAsia="宋体" w:cs="方正仿宋简体"/>
                <w:color w:val="000000"/>
                <w:szCs w:val="21"/>
              </w:rPr>
            </w:pPr>
            <w:r>
              <w:rPr>
                <w:rFonts w:hint="eastAsia" w:ascii="宋体" w:hAnsi="宋体" w:eastAsia="宋体" w:cs="方正仿宋简体"/>
                <w:color w:val="000000"/>
                <w:szCs w:val="21"/>
              </w:rPr>
              <w:t>金融理论与政策</w:t>
            </w:r>
          </w:p>
        </w:tc>
        <w:tc>
          <w:tcPr>
            <w:tcW w:w="611" w:type="pct"/>
            <w:noWrap/>
            <w:vAlign w:val="center"/>
          </w:tcPr>
          <w:p>
            <w:pPr>
              <w:adjustRightInd w:val="0"/>
              <w:snapToGrid w:val="0"/>
              <w:spacing w:line="500" w:lineRule="atLeast"/>
              <w:jc w:val="center"/>
              <w:rPr>
                <w:rFonts w:ascii="宋体" w:hAnsi="宋体" w:eastAsia="宋体" w:cs="方正仿宋简体"/>
                <w:color w:val="000000"/>
                <w:szCs w:val="21"/>
              </w:rPr>
            </w:pPr>
            <w:r>
              <w:rPr>
                <w:rFonts w:hint="eastAsia" w:ascii="宋体" w:hAnsi="宋体" w:eastAsia="宋体" w:cs="方正仿宋简体"/>
                <w:color w:val="000000"/>
                <w:szCs w:val="21"/>
              </w:rPr>
              <w:t>必修课</w:t>
            </w:r>
          </w:p>
        </w:tc>
        <w:tc>
          <w:tcPr>
            <w:tcW w:w="368" w:type="pct"/>
            <w:noWrap/>
            <w:vAlign w:val="center"/>
          </w:tcPr>
          <w:p>
            <w:pPr>
              <w:adjustRightInd w:val="0"/>
              <w:snapToGrid w:val="0"/>
              <w:spacing w:line="500" w:lineRule="atLeast"/>
              <w:jc w:val="center"/>
              <w:rPr>
                <w:rFonts w:ascii="宋体" w:hAnsi="宋体" w:eastAsia="宋体" w:cs="方正仿宋简体"/>
                <w:color w:val="000000"/>
                <w:szCs w:val="21"/>
              </w:rPr>
            </w:pPr>
            <w:r>
              <w:rPr>
                <w:rFonts w:hint="eastAsia" w:ascii="宋体" w:hAnsi="宋体" w:eastAsia="宋体" w:cs="方正仿宋简体"/>
                <w:color w:val="000000"/>
                <w:szCs w:val="21"/>
              </w:rPr>
              <w:t>3</w:t>
            </w:r>
          </w:p>
        </w:tc>
        <w:tc>
          <w:tcPr>
            <w:tcW w:w="1459" w:type="pct"/>
            <w:noWrap/>
            <w:vAlign w:val="center"/>
          </w:tcPr>
          <w:p>
            <w:pPr>
              <w:adjustRightInd w:val="0"/>
              <w:snapToGrid w:val="0"/>
              <w:spacing w:line="500" w:lineRule="atLeast"/>
              <w:jc w:val="center"/>
              <w:rPr>
                <w:rFonts w:ascii="宋体" w:hAnsi="宋体" w:eastAsia="宋体" w:cs="方正仿宋简体"/>
                <w:color w:val="000000"/>
                <w:szCs w:val="21"/>
              </w:rPr>
            </w:pPr>
            <w:r>
              <w:rPr>
                <w:rFonts w:hint="eastAsia" w:ascii="宋体" w:hAnsi="宋体" w:eastAsia="宋体" w:cs="方正仿宋简体"/>
                <w:color w:val="000000"/>
                <w:szCs w:val="21"/>
              </w:rPr>
              <w:t>王林萍；林丽琼</w:t>
            </w:r>
          </w:p>
        </w:tc>
        <w:tc>
          <w:tcPr>
            <w:tcW w:w="611" w:type="pct"/>
            <w:noWrap/>
            <w:vAlign w:val="center"/>
          </w:tcPr>
          <w:p>
            <w:pPr>
              <w:adjustRightInd w:val="0"/>
              <w:snapToGrid w:val="0"/>
              <w:spacing w:line="500" w:lineRule="atLeast"/>
              <w:jc w:val="center"/>
              <w:rPr>
                <w:rFonts w:ascii="宋体" w:hAnsi="宋体" w:eastAsia="宋体" w:cs="方正仿宋简体"/>
                <w:color w:val="000000"/>
                <w:szCs w:val="21"/>
              </w:rPr>
            </w:pPr>
            <w:r>
              <w:rPr>
                <w:rFonts w:hint="eastAsia" w:ascii="宋体" w:hAnsi="宋体" w:eastAsia="宋体" w:cs="方正仿宋简体"/>
                <w:color w:val="000000"/>
                <w:szCs w:val="21"/>
              </w:rPr>
              <w:t>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368" w:type="pct"/>
            <w:noWrap/>
            <w:vAlign w:val="center"/>
          </w:tcPr>
          <w:p>
            <w:pPr>
              <w:spacing w:line="500" w:lineRule="atLeast"/>
              <w:jc w:val="center"/>
              <w:textAlignment w:val="center"/>
              <w:rPr>
                <w:rFonts w:ascii="宋体" w:hAnsi="宋体" w:eastAsia="宋体"/>
              </w:rPr>
            </w:pPr>
            <w:r>
              <w:rPr>
                <w:rFonts w:hint="eastAsia" w:ascii="宋体" w:hAnsi="宋体" w:eastAsia="宋体"/>
              </w:rPr>
              <w:t>1</w:t>
            </w:r>
            <w:r>
              <w:rPr>
                <w:rFonts w:ascii="宋体" w:hAnsi="宋体" w:eastAsia="宋体"/>
              </w:rPr>
              <w:t>3</w:t>
            </w:r>
          </w:p>
        </w:tc>
        <w:tc>
          <w:tcPr>
            <w:tcW w:w="1580" w:type="pct"/>
            <w:noWrap/>
            <w:vAlign w:val="center"/>
          </w:tcPr>
          <w:p>
            <w:pPr>
              <w:adjustRightInd w:val="0"/>
              <w:snapToGrid w:val="0"/>
              <w:spacing w:line="500" w:lineRule="atLeast"/>
              <w:jc w:val="center"/>
              <w:rPr>
                <w:rFonts w:ascii="宋体" w:hAnsi="宋体" w:eastAsia="宋体" w:cs="方正仿宋简体"/>
                <w:color w:val="000000"/>
                <w:szCs w:val="21"/>
              </w:rPr>
            </w:pPr>
            <w:r>
              <w:rPr>
                <w:rFonts w:hint="eastAsia" w:ascii="宋体" w:hAnsi="宋体" w:eastAsia="宋体" w:cs="方正仿宋简体"/>
                <w:color w:val="000000"/>
                <w:szCs w:val="21"/>
              </w:rPr>
              <w:t>国际贸易理论与政策</w:t>
            </w:r>
          </w:p>
        </w:tc>
        <w:tc>
          <w:tcPr>
            <w:tcW w:w="611" w:type="pct"/>
            <w:noWrap/>
            <w:vAlign w:val="center"/>
          </w:tcPr>
          <w:p>
            <w:pPr>
              <w:adjustRightInd w:val="0"/>
              <w:snapToGrid w:val="0"/>
              <w:spacing w:line="500" w:lineRule="atLeast"/>
              <w:jc w:val="center"/>
              <w:rPr>
                <w:rFonts w:ascii="宋体" w:hAnsi="宋体" w:eastAsia="宋体" w:cs="方正仿宋简体"/>
                <w:color w:val="000000"/>
                <w:szCs w:val="21"/>
              </w:rPr>
            </w:pPr>
            <w:r>
              <w:rPr>
                <w:rFonts w:hint="eastAsia" w:ascii="宋体" w:hAnsi="宋体" w:eastAsia="宋体" w:cs="方正仿宋简体"/>
                <w:color w:val="000000"/>
                <w:szCs w:val="21"/>
              </w:rPr>
              <w:t>必修课</w:t>
            </w:r>
          </w:p>
        </w:tc>
        <w:tc>
          <w:tcPr>
            <w:tcW w:w="368" w:type="pct"/>
            <w:noWrap/>
            <w:vAlign w:val="center"/>
          </w:tcPr>
          <w:p>
            <w:pPr>
              <w:adjustRightInd w:val="0"/>
              <w:snapToGrid w:val="0"/>
              <w:spacing w:line="500" w:lineRule="atLeast"/>
              <w:jc w:val="center"/>
              <w:rPr>
                <w:rFonts w:ascii="宋体" w:hAnsi="宋体" w:eastAsia="宋体" w:cs="方正仿宋简体"/>
                <w:color w:val="000000"/>
                <w:szCs w:val="21"/>
              </w:rPr>
            </w:pPr>
            <w:r>
              <w:rPr>
                <w:rFonts w:hint="eastAsia" w:ascii="宋体" w:hAnsi="宋体" w:eastAsia="宋体" w:cs="方正仿宋简体"/>
                <w:color w:val="000000"/>
                <w:szCs w:val="21"/>
              </w:rPr>
              <w:t>3</w:t>
            </w:r>
          </w:p>
        </w:tc>
        <w:tc>
          <w:tcPr>
            <w:tcW w:w="1459" w:type="pct"/>
            <w:noWrap/>
            <w:vAlign w:val="center"/>
          </w:tcPr>
          <w:p>
            <w:pPr>
              <w:adjustRightInd w:val="0"/>
              <w:snapToGrid w:val="0"/>
              <w:spacing w:line="500" w:lineRule="atLeast"/>
              <w:jc w:val="center"/>
              <w:rPr>
                <w:rFonts w:ascii="宋体" w:hAnsi="宋体" w:eastAsia="宋体" w:cs="方正仿宋简体"/>
                <w:color w:val="000000"/>
                <w:szCs w:val="21"/>
              </w:rPr>
            </w:pPr>
            <w:r>
              <w:rPr>
                <w:rFonts w:hint="eastAsia" w:ascii="宋体" w:hAnsi="宋体" w:eastAsia="宋体" w:cs="方正仿宋简体"/>
                <w:color w:val="000000"/>
                <w:szCs w:val="21"/>
              </w:rPr>
              <w:t>林本喜；苏志庆</w:t>
            </w:r>
          </w:p>
        </w:tc>
        <w:tc>
          <w:tcPr>
            <w:tcW w:w="611" w:type="pct"/>
            <w:noWrap/>
            <w:vAlign w:val="center"/>
          </w:tcPr>
          <w:p>
            <w:pPr>
              <w:adjustRightInd w:val="0"/>
              <w:snapToGrid w:val="0"/>
              <w:spacing w:line="500" w:lineRule="atLeast"/>
              <w:jc w:val="center"/>
              <w:rPr>
                <w:rFonts w:ascii="宋体" w:hAnsi="宋体" w:eastAsia="宋体" w:cs="方正仿宋简体"/>
                <w:color w:val="000000"/>
                <w:szCs w:val="21"/>
              </w:rPr>
            </w:pPr>
            <w:r>
              <w:rPr>
                <w:rFonts w:hint="eastAsia" w:ascii="宋体" w:hAnsi="宋体" w:eastAsia="宋体" w:cs="方正仿宋简体"/>
                <w:color w:val="000000"/>
                <w:szCs w:val="21"/>
              </w:rPr>
              <w:t>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368" w:type="pct"/>
            <w:noWrap/>
            <w:vAlign w:val="center"/>
          </w:tcPr>
          <w:p>
            <w:pPr>
              <w:spacing w:line="500" w:lineRule="atLeast"/>
              <w:jc w:val="center"/>
              <w:textAlignment w:val="center"/>
              <w:rPr>
                <w:rFonts w:ascii="宋体" w:hAnsi="宋体" w:eastAsia="宋体"/>
              </w:rPr>
            </w:pPr>
            <w:r>
              <w:rPr>
                <w:rFonts w:hint="eastAsia" w:ascii="宋体" w:hAnsi="宋体" w:eastAsia="宋体"/>
              </w:rPr>
              <w:t>1</w:t>
            </w:r>
            <w:r>
              <w:rPr>
                <w:rFonts w:ascii="宋体" w:hAnsi="宋体" w:eastAsia="宋体"/>
              </w:rPr>
              <w:t>4</w:t>
            </w:r>
          </w:p>
        </w:tc>
        <w:tc>
          <w:tcPr>
            <w:tcW w:w="1580" w:type="pct"/>
            <w:noWrap/>
            <w:vAlign w:val="center"/>
          </w:tcPr>
          <w:p>
            <w:pPr>
              <w:adjustRightInd w:val="0"/>
              <w:snapToGrid w:val="0"/>
              <w:spacing w:line="500" w:lineRule="atLeast"/>
              <w:jc w:val="center"/>
              <w:rPr>
                <w:rFonts w:ascii="宋体" w:hAnsi="宋体" w:eastAsia="宋体" w:cs="方正仿宋简体"/>
                <w:color w:val="000000"/>
                <w:szCs w:val="21"/>
              </w:rPr>
            </w:pPr>
            <w:r>
              <w:rPr>
                <w:rFonts w:hint="eastAsia" w:ascii="宋体" w:hAnsi="宋体" w:eastAsia="宋体" w:cs="方正仿宋简体"/>
                <w:color w:val="000000"/>
                <w:szCs w:val="21"/>
              </w:rPr>
              <w:t>经济一体化与区域经济组织</w:t>
            </w:r>
          </w:p>
        </w:tc>
        <w:tc>
          <w:tcPr>
            <w:tcW w:w="611" w:type="pct"/>
            <w:noWrap/>
            <w:vAlign w:val="center"/>
          </w:tcPr>
          <w:p>
            <w:pPr>
              <w:adjustRightInd w:val="0"/>
              <w:snapToGrid w:val="0"/>
              <w:spacing w:line="500" w:lineRule="atLeast"/>
              <w:jc w:val="center"/>
              <w:rPr>
                <w:rFonts w:ascii="宋体" w:hAnsi="宋体" w:eastAsia="宋体" w:cs="方正仿宋简体"/>
                <w:color w:val="000000"/>
                <w:szCs w:val="21"/>
              </w:rPr>
            </w:pPr>
            <w:r>
              <w:rPr>
                <w:rFonts w:hint="eastAsia" w:ascii="宋体" w:hAnsi="宋体" w:eastAsia="宋体" w:cs="方正仿宋简体"/>
                <w:color w:val="000000"/>
                <w:szCs w:val="21"/>
              </w:rPr>
              <w:t>必修课</w:t>
            </w:r>
          </w:p>
        </w:tc>
        <w:tc>
          <w:tcPr>
            <w:tcW w:w="368" w:type="pct"/>
            <w:noWrap/>
            <w:vAlign w:val="center"/>
          </w:tcPr>
          <w:p>
            <w:pPr>
              <w:adjustRightInd w:val="0"/>
              <w:snapToGrid w:val="0"/>
              <w:spacing w:line="500" w:lineRule="atLeast"/>
              <w:jc w:val="center"/>
              <w:rPr>
                <w:rFonts w:ascii="宋体" w:hAnsi="宋体" w:eastAsia="宋体" w:cs="方正仿宋简体"/>
                <w:color w:val="000000"/>
                <w:szCs w:val="21"/>
              </w:rPr>
            </w:pPr>
            <w:r>
              <w:rPr>
                <w:rFonts w:hint="eastAsia" w:ascii="宋体" w:hAnsi="宋体" w:eastAsia="宋体" w:cs="方正仿宋简体"/>
                <w:color w:val="000000"/>
                <w:szCs w:val="21"/>
              </w:rPr>
              <w:t>2</w:t>
            </w:r>
          </w:p>
        </w:tc>
        <w:tc>
          <w:tcPr>
            <w:tcW w:w="1459" w:type="pct"/>
            <w:noWrap/>
            <w:vAlign w:val="center"/>
          </w:tcPr>
          <w:p>
            <w:pPr>
              <w:adjustRightInd w:val="0"/>
              <w:snapToGrid w:val="0"/>
              <w:spacing w:line="500" w:lineRule="atLeast"/>
              <w:jc w:val="center"/>
              <w:rPr>
                <w:rFonts w:ascii="宋体" w:hAnsi="宋体" w:eastAsia="宋体" w:cs="方正仿宋简体"/>
                <w:color w:val="000000"/>
                <w:szCs w:val="21"/>
              </w:rPr>
            </w:pPr>
            <w:r>
              <w:rPr>
                <w:rFonts w:hint="eastAsia" w:ascii="宋体" w:hAnsi="宋体" w:eastAsia="宋体" w:cs="方正仿宋简体"/>
                <w:color w:val="000000"/>
                <w:szCs w:val="21"/>
              </w:rPr>
              <w:t>何均琳；林畅</w:t>
            </w:r>
          </w:p>
        </w:tc>
        <w:tc>
          <w:tcPr>
            <w:tcW w:w="611" w:type="pct"/>
            <w:noWrap/>
            <w:vAlign w:val="center"/>
          </w:tcPr>
          <w:p>
            <w:pPr>
              <w:adjustRightInd w:val="0"/>
              <w:snapToGrid w:val="0"/>
              <w:spacing w:line="500" w:lineRule="atLeast"/>
              <w:jc w:val="center"/>
              <w:rPr>
                <w:rFonts w:ascii="宋体" w:hAnsi="宋体" w:eastAsia="宋体" w:cs="方正仿宋简体"/>
                <w:color w:val="000000"/>
                <w:szCs w:val="21"/>
              </w:rPr>
            </w:pPr>
            <w:r>
              <w:rPr>
                <w:rFonts w:hint="eastAsia" w:ascii="宋体" w:hAnsi="宋体" w:eastAsia="宋体" w:cs="方正仿宋简体"/>
                <w:color w:val="000000"/>
                <w:szCs w:val="21"/>
              </w:rPr>
              <w:t>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368" w:type="pct"/>
            <w:noWrap/>
            <w:vAlign w:val="center"/>
          </w:tcPr>
          <w:p>
            <w:pPr>
              <w:spacing w:line="500" w:lineRule="atLeast"/>
              <w:jc w:val="center"/>
              <w:textAlignment w:val="center"/>
              <w:rPr>
                <w:rFonts w:ascii="宋体" w:hAnsi="宋体" w:eastAsia="宋体"/>
              </w:rPr>
            </w:pPr>
            <w:r>
              <w:rPr>
                <w:rFonts w:hint="eastAsia" w:ascii="宋体" w:hAnsi="宋体" w:eastAsia="宋体"/>
              </w:rPr>
              <w:t>1</w:t>
            </w:r>
            <w:r>
              <w:rPr>
                <w:rFonts w:ascii="宋体" w:hAnsi="宋体" w:eastAsia="宋体"/>
              </w:rPr>
              <w:t>5</w:t>
            </w:r>
          </w:p>
        </w:tc>
        <w:tc>
          <w:tcPr>
            <w:tcW w:w="1580" w:type="pct"/>
            <w:noWrap/>
            <w:vAlign w:val="center"/>
          </w:tcPr>
          <w:p>
            <w:pPr>
              <w:adjustRightInd w:val="0"/>
              <w:snapToGrid w:val="0"/>
              <w:spacing w:line="500" w:lineRule="atLeast"/>
              <w:jc w:val="center"/>
              <w:rPr>
                <w:rFonts w:ascii="宋体" w:hAnsi="宋体" w:eastAsia="宋体" w:cs="方正仿宋简体"/>
                <w:color w:val="000000"/>
                <w:szCs w:val="21"/>
              </w:rPr>
            </w:pPr>
            <w:r>
              <w:rPr>
                <w:rFonts w:hint="eastAsia" w:ascii="宋体" w:hAnsi="宋体" w:eastAsia="宋体" w:cs="方正仿宋简体"/>
                <w:color w:val="000000"/>
                <w:szCs w:val="21"/>
              </w:rPr>
              <w:t>国际服务贸易专题</w:t>
            </w:r>
          </w:p>
        </w:tc>
        <w:tc>
          <w:tcPr>
            <w:tcW w:w="611" w:type="pct"/>
            <w:noWrap/>
            <w:vAlign w:val="center"/>
          </w:tcPr>
          <w:p>
            <w:pPr>
              <w:adjustRightInd w:val="0"/>
              <w:snapToGrid w:val="0"/>
              <w:spacing w:line="500" w:lineRule="atLeast"/>
              <w:jc w:val="center"/>
              <w:rPr>
                <w:rFonts w:ascii="宋体" w:hAnsi="宋体" w:eastAsia="宋体" w:cs="方正仿宋简体"/>
                <w:color w:val="000000"/>
                <w:szCs w:val="21"/>
              </w:rPr>
            </w:pPr>
            <w:r>
              <w:rPr>
                <w:rFonts w:hint="eastAsia" w:ascii="宋体" w:hAnsi="宋体" w:eastAsia="宋体" w:cs="方正仿宋简体"/>
                <w:color w:val="000000"/>
                <w:szCs w:val="21"/>
              </w:rPr>
              <w:t>必修课</w:t>
            </w:r>
          </w:p>
        </w:tc>
        <w:tc>
          <w:tcPr>
            <w:tcW w:w="368" w:type="pct"/>
            <w:noWrap/>
            <w:vAlign w:val="center"/>
          </w:tcPr>
          <w:p>
            <w:pPr>
              <w:adjustRightInd w:val="0"/>
              <w:snapToGrid w:val="0"/>
              <w:spacing w:line="500" w:lineRule="atLeast"/>
              <w:jc w:val="center"/>
              <w:rPr>
                <w:rFonts w:ascii="宋体" w:hAnsi="宋体" w:eastAsia="宋体" w:cs="方正仿宋简体"/>
                <w:color w:val="000000"/>
                <w:szCs w:val="21"/>
              </w:rPr>
            </w:pPr>
            <w:r>
              <w:rPr>
                <w:rFonts w:hint="eastAsia" w:ascii="宋体" w:hAnsi="宋体" w:eastAsia="宋体" w:cs="方正仿宋简体"/>
                <w:color w:val="000000"/>
                <w:szCs w:val="21"/>
              </w:rPr>
              <w:t>2</w:t>
            </w:r>
          </w:p>
        </w:tc>
        <w:tc>
          <w:tcPr>
            <w:tcW w:w="1459" w:type="pct"/>
            <w:noWrap/>
            <w:vAlign w:val="center"/>
          </w:tcPr>
          <w:p>
            <w:pPr>
              <w:adjustRightInd w:val="0"/>
              <w:snapToGrid w:val="0"/>
              <w:spacing w:line="500" w:lineRule="atLeast"/>
              <w:jc w:val="center"/>
              <w:rPr>
                <w:rFonts w:ascii="宋体" w:hAnsi="宋体" w:eastAsia="宋体" w:cs="方正仿宋简体"/>
                <w:color w:val="000000"/>
                <w:szCs w:val="21"/>
              </w:rPr>
            </w:pPr>
            <w:r>
              <w:rPr>
                <w:rFonts w:hint="eastAsia" w:ascii="宋体" w:hAnsi="宋体" w:eastAsia="宋体" w:cs="方正仿宋简体"/>
                <w:color w:val="000000"/>
                <w:szCs w:val="21"/>
              </w:rPr>
              <w:t>蒋颖；林畅</w:t>
            </w:r>
          </w:p>
        </w:tc>
        <w:tc>
          <w:tcPr>
            <w:tcW w:w="611" w:type="pct"/>
            <w:noWrap/>
            <w:vAlign w:val="center"/>
          </w:tcPr>
          <w:p>
            <w:pPr>
              <w:adjustRightInd w:val="0"/>
              <w:snapToGrid w:val="0"/>
              <w:spacing w:line="500" w:lineRule="atLeast"/>
              <w:jc w:val="center"/>
              <w:rPr>
                <w:rFonts w:ascii="宋体" w:hAnsi="宋体" w:eastAsia="宋体" w:cs="方正仿宋简体"/>
                <w:color w:val="000000"/>
                <w:szCs w:val="21"/>
              </w:rPr>
            </w:pPr>
            <w:r>
              <w:rPr>
                <w:rFonts w:hint="eastAsia" w:ascii="宋体" w:hAnsi="宋体" w:eastAsia="宋体" w:cs="方正仿宋简体"/>
                <w:color w:val="000000"/>
                <w:szCs w:val="21"/>
              </w:rPr>
              <w:t>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368" w:type="pct"/>
            <w:noWrap/>
            <w:vAlign w:val="center"/>
          </w:tcPr>
          <w:p>
            <w:pPr>
              <w:spacing w:line="500" w:lineRule="atLeast"/>
              <w:jc w:val="center"/>
              <w:textAlignment w:val="center"/>
              <w:rPr>
                <w:rFonts w:ascii="宋体" w:hAnsi="宋体" w:eastAsia="宋体"/>
              </w:rPr>
            </w:pPr>
            <w:r>
              <w:rPr>
                <w:rFonts w:hint="eastAsia" w:ascii="宋体" w:hAnsi="宋体" w:eastAsia="宋体"/>
              </w:rPr>
              <w:t>1</w:t>
            </w:r>
            <w:r>
              <w:rPr>
                <w:rFonts w:ascii="宋体" w:hAnsi="宋体" w:eastAsia="宋体"/>
              </w:rPr>
              <w:t>6</w:t>
            </w:r>
          </w:p>
        </w:tc>
        <w:tc>
          <w:tcPr>
            <w:tcW w:w="1580" w:type="pct"/>
            <w:noWrap/>
            <w:vAlign w:val="center"/>
          </w:tcPr>
          <w:p>
            <w:pPr>
              <w:adjustRightInd w:val="0"/>
              <w:snapToGrid w:val="0"/>
              <w:spacing w:line="500" w:lineRule="atLeast"/>
              <w:jc w:val="center"/>
              <w:rPr>
                <w:rFonts w:ascii="宋体" w:hAnsi="宋体" w:eastAsia="宋体" w:cs="方正仿宋简体"/>
                <w:color w:val="000000"/>
                <w:szCs w:val="21"/>
              </w:rPr>
            </w:pPr>
            <w:r>
              <w:rPr>
                <w:rFonts w:hint="eastAsia" w:ascii="宋体" w:hAnsi="宋体" w:eastAsia="宋体" w:cs="方正仿宋简体"/>
                <w:color w:val="000000"/>
                <w:szCs w:val="21"/>
              </w:rPr>
              <w:t>区域经济与区域政策</w:t>
            </w:r>
          </w:p>
        </w:tc>
        <w:tc>
          <w:tcPr>
            <w:tcW w:w="611" w:type="pct"/>
            <w:noWrap/>
            <w:vAlign w:val="center"/>
          </w:tcPr>
          <w:p>
            <w:pPr>
              <w:adjustRightInd w:val="0"/>
              <w:snapToGrid w:val="0"/>
              <w:spacing w:line="500" w:lineRule="atLeast"/>
              <w:jc w:val="center"/>
              <w:rPr>
                <w:rFonts w:ascii="宋体" w:hAnsi="宋体" w:eastAsia="宋体" w:cs="方正仿宋简体"/>
                <w:color w:val="000000"/>
                <w:szCs w:val="21"/>
              </w:rPr>
            </w:pPr>
            <w:r>
              <w:rPr>
                <w:rFonts w:hint="eastAsia" w:ascii="宋体" w:hAnsi="宋体" w:eastAsia="宋体" w:cs="方正仿宋简体"/>
                <w:color w:val="000000"/>
                <w:szCs w:val="21"/>
              </w:rPr>
              <w:t>必修课</w:t>
            </w:r>
          </w:p>
        </w:tc>
        <w:tc>
          <w:tcPr>
            <w:tcW w:w="368" w:type="pct"/>
            <w:noWrap/>
            <w:vAlign w:val="center"/>
          </w:tcPr>
          <w:p>
            <w:pPr>
              <w:adjustRightInd w:val="0"/>
              <w:snapToGrid w:val="0"/>
              <w:spacing w:line="500" w:lineRule="atLeast"/>
              <w:jc w:val="center"/>
              <w:rPr>
                <w:rFonts w:ascii="宋体" w:hAnsi="宋体" w:eastAsia="宋体" w:cs="方正仿宋简体"/>
                <w:color w:val="000000"/>
                <w:szCs w:val="21"/>
              </w:rPr>
            </w:pPr>
            <w:r>
              <w:rPr>
                <w:rFonts w:hint="eastAsia" w:ascii="宋体" w:hAnsi="宋体" w:eastAsia="宋体" w:cs="方正仿宋简体"/>
                <w:color w:val="000000"/>
                <w:szCs w:val="21"/>
              </w:rPr>
              <w:t>2</w:t>
            </w:r>
          </w:p>
        </w:tc>
        <w:tc>
          <w:tcPr>
            <w:tcW w:w="1459" w:type="pct"/>
            <w:noWrap/>
            <w:vAlign w:val="center"/>
          </w:tcPr>
          <w:p>
            <w:pPr>
              <w:adjustRightInd w:val="0"/>
              <w:snapToGrid w:val="0"/>
              <w:spacing w:line="500" w:lineRule="atLeast"/>
              <w:jc w:val="center"/>
              <w:rPr>
                <w:rFonts w:ascii="宋体" w:hAnsi="宋体" w:eastAsia="宋体" w:cs="方正仿宋简体"/>
                <w:color w:val="000000"/>
                <w:szCs w:val="21"/>
              </w:rPr>
            </w:pPr>
            <w:r>
              <w:rPr>
                <w:rFonts w:hint="eastAsia" w:ascii="宋体" w:hAnsi="宋体" w:eastAsia="宋体" w:cs="方正仿宋简体"/>
                <w:color w:val="000000"/>
                <w:szCs w:val="21"/>
              </w:rPr>
              <w:t>刘飞翔；占纪文</w:t>
            </w:r>
          </w:p>
        </w:tc>
        <w:tc>
          <w:tcPr>
            <w:tcW w:w="611" w:type="pct"/>
            <w:noWrap/>
            <w:vAlign w:val="center"/>
          </w:tcPr>
          <w:p>
            <w:pPr>
              <w:adjustRightInd w:val="0"/>
              <w:snapToGrid w:val="0"/>
              <w:spacing w:line="500" w:lineRule="atLeast"/>
              <w:jc w:val="center"/>
              <w:rPr>
                <w:rFonts w:ascii="宋体" w:hAnsi="宋体" w:eastAsia="宋体" w:cs="方正仿宋简体"/>
                <w:color w:val="000000"/>
                <w:szCs w:val="21"/>
              </w:rPr>
            </w:pPr>
            <w:r>
              <w:rPr>
                <w:rFonts w:hint="eastAsia" w:ascii="宋体" w:hAnsi="宋体" w:eastAsia="宋体" w:cs="方正仿宋简体"/>
                <w:color w:val="000000"/>
                <w:szCs w:val="21"/>
              </w:rPr>
              <w:t>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368" w:type="pct"/>
            <w:noWrap/>
            <w:vAlign w:val="center"/>
          </w:tcPr>
          <w:p>
            <w:pPr>
              <w:spacing w:line="500" w:lineRule="atLeast"/>
              <w:jc w:val="center"/>
              <w:textAlignment w:val="center"/>
              <w:rPr>
                <w:rFonts w:ascii="宋体" w:hAnsi="宋体" w:eastAsia="宋体"/>
              </w:rPr>
            </w:pPr>
            <w:r>
              <w:rPr>
                <w:rFonts w:hint="eastAsia" w:ascii="宋体" w:hAnsi="宋体" w:eastAsia="宋体"/>
              </w:rPr>
              <w:t>1</w:t>
            </w:r>
            <w:r>
              <w:rPr>
                <w:rFonts w:ascii="宋体" w:hAnsi="宋体" w:eastAsia="宋体"/>
              </w:rPr>
              <w:t>7</w:t>
            </w:r>
          </w:p>
        </w:tc>
        <w:tc>
          <w:tcPr>
            <w:tcW w:w="1580" w:type="pct"/>
            <w:noWrap/>
            <w:vAlign w:val="center"/>
          </w:tcPr>
          <w:p>
            <w:pPr>
              <w:adjustRightInd w:val="0"/>
              <w:snapToGrid w:val="0"/>
              <w:spacing w:line="500" w:lineRule="atLeast"/>
              <w:jc w:val="center"/>
              <w:rPr>
                <w:rFonts w:ascii="宋体" w:hAnsi="宋体" w:eastAsia="宋体" w:cs="方正仿宋简体"/>
                <w:color w:val="000000"/>
                <w:szCs w:val="21"/>
              </w:rPr>
            </w:pPr>
            <w:r>
              <w:rPr>
                <w:rFonts w:hint="eastAsia" w:ascii="宋体" w:hAnsi="宋体" w:eastAsia="宋体" w:cs="方正仿宋简体"/>
                <w:color w:val="000000"/>
                <w:szCs w:val="21"/>
              </w:rPr>
              <w:t>闽台合作专题</w:t>
            </w:r>
          </w:p>
        </w:tc>
        <w:tc>
          <w:tcPr>
            <w:tcW w:w="611" w:type="pct"/>
            <w:noWrap/>
            <w:vAlign w:val="center"/>
          </w:tcPr>
          <w:p>
            <w:pPr>
              <w:adjustRightInd w:val="0"/>
              <w:snapToGrid w:val="0"/>
              <w:spacing w:line="500" w:lineRule="atLeast"/>
              <w:jc w:val="center"/>
              <w:rPr>
                <w:rFonts w:ascii="宋体" w:hAnsi="宋体" w:eastAsia="宋体" w:cs="方正仿宋简体"/>
                <w:color w:val="000000"/>
                <w:szCs w:val="21"/>
              </w:rPr>
            </w:pPr>
            <w:r>
              <w:rPr>
                <w:rFonts w:hint="eastAsia" w:ascii="宋体" w:hAnsi="宋体" w:eastAsia="宋体" w:cs="方正仿宋简体"/>
                <w:color w:val="000000"/>
                <w:szCs w:val="21"/>
              </w:rPr>
              <w:t>必修课</w:t>
            </w:r>
          </w:p>
        </w:tc>
        <w:tc>
          <w:tcPr>
            <w:tcW w:w="368" w:type="pct"/>
            <w:noWrap/>
            <w:vAlign w:val="center"/>
          </w:tcPr>
          <w:p>
            <w:pPr>
              <w:adjustRightInd w:val="0"/>
              <w:snapToGrid w:val="0"/>
              <w:spacing w:line="500" w:lineRule="atLeast"/>
              <w:jc w:val="center"/>
              <w:rPr>
                <w:rFonts w:ascii="宋体" w:hAnsi="宋体" w:eastAsia="宋体" w:cs="方正仿宋简体"/>
                <w:color w:val="000000"/>
                <w:szCs w:val="21"/>
              </w:rPr>
            </w:pPr>
            <w:r>
              <w:rPr>
                <w:rFonts w:hint="eastAsia" w:ascii="宋体" w:hAnsi="宋体" w:eastAsia="宋体" w:cs="方正仿宋简体"/>
                <w:color w:val="000000"/>
                <w:szCs w:val="21"/>
              </w:rPr>
              <w:t>2</w:t>
            </w:r>
          </w:p>
        </w:tc>
        <w:tc>
          <w:tcPr>
            <w:tcW w:w="1459" w:type="pct"/>
            <w:noWrap/>
            <w:vAlign w:val="center"/>
          </w:tcPr>
          <w:p>
            <w:pPr>
              <w:adjustRightInd w:val="0"/>
              <w:snapToGrid w:val="0"/>
              <w:spacing w:line="500" w:lineRule="atLeast"/>
              <w:jc w:val="center"/>
              <w:rPr>
                <w:rFonts w:ascii="宋体" w:hAnsi="宋体" w:eastAsia="宋体" w:cs="方正仿宋简体"/>
                <w:color w:val="000000"/>
                <w:szCs w:val="21"/>
              </w:rPr>
            </w:pPr>
            <w:r>
              <w:rPr>
                <w:rFonts w:hint="eastAsia" w:ascii="宋体" w:hAnsi="宋体" w:eastAsia="宋体" w:cs="方正仿宋简体"/>
                <w:color w:val="000000"/>
                <w:szCs w:val="21"/>
              </w:rPr>
              <w:t>郑少红</w:t>
            </w:r>
          </w:p>
        </w:tc>
        <w:tc>
          <w:tcPr>
            <w:tcW w:w="611" w:type="pct"/>
            <w:noWrap/>
            <w:vAlign w:val="center"/>
          </w:tcPr>
          <w:p>
            <w:pPr>
              <w:adjustRightInd w:val="0"/>
              <w:snapToGrid w:val="0"/>
              <w:spacing w:line="500" w:lineRule="atLeast"/>
              <w:jc w:val="center"/>
              <w:rPr>
                <w:rFonts w:ascii="宋体" w:hAnsi="宋体" w:eastAsia="宋体" w:cs="方正仿宋简体"/>
                <w:color w:val="000000"/>
                <w:szCs w:val="21"/>
              </w:rPr>
            </w:pPr>
            <w:r>
              <w:rPr>
                <w:rFonts w:hint="eastAsia" w:ascii="宋体" w:hAnsi="宋体" w:eastAsia="宋体" w:cs="方正仿宋简体"/>
                <w:color w:val="000000"/>
                <w:szCs w:val="21"/>
              </w:rPr>
              <w:t>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368" w:type="pct"/>
            <w:noWrap/>
            <w:vAlign w:val="center"/>
          </w:tcPr>
          <w:p>
            <w:pPr>
              <w:spacing w:line="500" w:lineRule="atLeast"/>
              <w:jc w:val="center"/>
              <w:textAlignment w:val="center"/>
              <w:rPr>
                <w:rFonts w:ascii="宋体" w:hAnsi="宋体" w:eastAsia="宋体"/>
              </w:rPr>
            </w:pPr>
            <w:r>
              <w:rPr>
                <w:rFonts w:hint="eastAsia" w:ascii="宋体" w:hAnsi="宋体" w:eastAsia="宋体"/>
              </w:rPr>
              <w:t>1</w:t>
            </w:r>
            <w:r>
              <w:rPr>
                <w:rFonts w:ascii="宋体" w:hAnsi="宋体" w:eastAsia="宋体"/>
              </w:rPr>
              <w:t>8</w:t>
            </w:r>
          </w:p>
        </w:tc>
        <w:tc>
          <w:tcPr>
            <w:tcW w:w="1580" w:type="pct"/>
            <w:noWrap/>
            <w:vAlign w:val="center"/>
          </w:tcPr>
          <w:p>
            <w:pPr>
              <w:adjustRightInd w:val="0"/>
              <w:snapToGrid w:val="0"/>
              <w:spacing w:line="500" w:lineRule="atLeast"/>
              <w:jc w:val="center"/>
              <w:rPr>
                <w:rFonts w:ascii="宋体" w:hAnsi="宋体" w:eastAsia="宋体" w:cs="方正仿宋简体"/>
                <w:color w:val="000000"/>
                <w:szCs w:val="21"/>
              </w:rPr>
            </w:pPr>
            <w:r>
              <w:rPr>
                <w:rFonts w:hint="eastAsia" w:ascii="宋体" w:hAnsi="宋体" w:eastAsia="宋体" w:cs="方正仿宋简体"/>
                <w:color w:val="000000"/>
                <w:szCs w:val="21"/>
              </w:rPr>
              <w:t>金融机构经营管理</w:t>
            </w:r>
          </w:p>
        </w:tc>
        <w:tc>
          <w:tcPr>
            <w:tcW w:w="611" w:type="pct"/>
            <w:noWrap/>
            <w:vAlign w:val="center"/>
          </w:tcPr>
          <w:p>
            <w:pPr>
              <w:adjustRightInd w:val="0"/>
              <w:snapToGrid w:val="0"/>
              <w:spacing w:line="500" w:lineRule="atLeast"/>
              <w:jc w:val="center"/>
              <w:rPr>
                <w:rFonts w:ascii="宋体" w:hAnsi="宋体" w:eastAsia="宋体" w:cs="方正仿宋简体"/>
                <w:color w:val="000000"/>
                <w:szCs w:val="21"/>
              </w:rPr>
            </w:pPr>
            <w:r>
              <w:rPr>
                <w:rFonts w:hint="eastAsia" w:ascii="宋体" w:hAnsi="宋体" w:eastAsia="宋体" w:cs="方正仿宋简体"/>
                <w:color w:val="000000"/>
                <w:szCs w:val="21"/>
              </w:rPr>
              <w:t>必修课</w:t>
            </w:r>
          </w:p>
        </w:tc>
        <w:tc>
          <w:tcPr>
            <w:tcW w:w="368" w:type="pct"/>
            <w:noWrap/>
            <w:vAlign w:val="center"/>
          </w:tcPr>
          <w:p>
            <w:pPr>
              <w:adjustRightInd w:val="0"/>
              <w:snapToGrid w:val="0"/>
              <w:spacing w:line="500" w:lineRule="atLeast"/>
              <w:jc w:val="center"/>
              <w:rPr>
                <w:rFonts w:ascii="宋体" w:hAnsi="宋体" w:eastAsia="宋体" w:cs="方正仿宋简体"/>
                <w:color w:val="000000"/>
                <w:szCs w:val="21"/>
              </w:rPr>
            </w:pPr>
            <w:r>
              <w:rPr>
                <w:rFonts w:hint="eastAsia" w:ascii="宋体" w:hAnsi="宋体" w:eastAsia="宋体" w:cs="方正仿宋简体"/>
                <w:color w:val="000000"/>
                <w:szCs w:val="21"/>
              </w:rPr>
              <w:t>2</w:t>
            </w:r>
          </w:p>
        </w:tc>
        <w:tc>
          <w:tcPr>
            <w:tcW w:w="1459" w:type="pct"/>
            <w:noWrap/>
            <w:vAlign w:val="center"/>
          </w:tcPr>
          <w:p>
            <w:pPr>
              <w:adjustRightInd w:val="0"/>
              <w:snapToGrid w:val="0"/>
              <w:spacing w:line="500" w:lineRule="atLeast"/>
              <w:jc w:val="center"/>
              <w:rPr>
                <w:rFonts w:ascii="宋体" w:hAnsi="宋体" w:eastAsia="宋体" w:cs="方正仿宋简体"/>
                <w:color w:val="000000"/>
                <w:szCs w:val="21"/>
              </w:rPr>
            </w:pPr>
            <w:r>
              <w:rPr>
                <w:rFonts w:hint="eastAsia" w:ascii="宋体" w:hAnsi="宋体" w:eastAsia="宋体" w:cs="方正仿宋简体"/>
                <w:color w:val="000000"/>
                <w:szCs w:val="21"/>
              </w:rPr>
              <w:t>蒋蔚；兰可雄</w:t>
            </w:r>
          </w:p>
        </w:tc>
        <w:tc>
          <w:tcPr>
            <w:tcW w:w="611" w:type="pct"/>
            <w:noWrap/>
            <w:vAlign w:val="center"/>
          </w:tcPr>
          <w:p>
            <w:pPr>
              <w:adjustRightInd w:val="0"/>
              <w:snapToGrid w:val="0"/>
              <w:spacing w:line="500" w:lineRule="atLeast"/>
              <w:jc w:val="center"/>
              <w:rPr>
                <w:rFonts w:ascii="宋体" w:hAnsi="宋体" w:eastAsia="宋体" w:cs="方正仿宋简体"/>
                <w:color w:val="000000"/>
                <w:szCs w:val="21"/>
              </w:rPr>
            </w:pPr>
            <w:r>
              <w:rPr>
                <w:rFonts w:hint="eastAsia" w:ascii="宋体" w:hAnsi="宋体" w:eastAsia="宋体" w:cs="方正仿宋简体"/>
                <w:color w:val="000000"/>
                <w:szCs w:val="21"/>
              </w:rPr>
              <w:t>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368" w:type="pct"/>
            <w:noWrap/>
            <w:vAlign w:val="center"/>
          </w:tcPr>
          <w:p>
            <w:pPr>
              <w:spacing w:line="500" w:lineRule="atLeast"/>
              <w:jc w:val="center"/>
              <w:textAlignment w:val="center"/>
              <w:rPr>
                <w:rFonts w:ascii="宋体" w:hAnsi="宋体" w:eastAsia="宋体"/>
              </w:rPr>
            </w:pPr>
            <w:r>
              <w:rPr>
                <w:rFonts w:hint="eastAsia" w:ascii="宋体" w:hAnsi="宋体" w:eastAsia="宋体"/>
              </w:rPr>
              <w:t>1</w:t>
            </w:r>
            <w:r>
              <w:rPr>
                <w:rFonts w:ascii="宋体" w:hAnsi="宋体" w:eastAsia="宋体"/>
              </w:rPr>
              <w:t>9</w:t>
            </w:r>
          </w:p>
        </w:tc>
        <w:tc>
          <w:tcPr>
            <w:tcW w:w="1580" w:type="pct"/>
            <w:noWrap/>
            <w:vAlign w:val="center"/>
          </w:tcPr>
          <w:p>
            <w:pPr>
              <w:adjustRightInd w:val="0"/>
              <w:snapToGrid w:val="0"/>
              <w:spacing w:line="500" w:lineRule="atLeast"/>
              <w:jc w:val="center"/>
              <w:rPr>
                <w:rFonts w:ascii="宋体" w:hAnsi="宋体" w:eastAsia="宋体" w:cs="方正仿宋简体"/>
                <w:color w:val="000000"/>
                <w:szCs w:val="21"/>
              </w:rPr>
            </w:pPr>
            <w:r>
              <w:rPr>
                <w:rFonts w:hint="eastAsia" w:ascii="宋体" w:hAnsi="宋体" w:eastAsia="宋体" w:cs="方正仿宋简体"/>
                <w:color w:val="000000"/>
                <w:szCs w:val="21"/>
              </w:rPr>
              <w:t>公司金融</w:t>
            </w:r>
          </w:p>
        </w:tc>
        <w:tc>
          <w:tcPr>
            <w:tcW w:w="611" w:type="pct"/>
            <w:noWrap/>
            <w:vAlign w:val="center"/>
          </w:tcPr>
          <w:p>
            <w:pPr>
              <w:adjustRightInd w:val="0"/>
              <w:snapToGrid w:val="0"/>
              <w:spacing w:line="500" w:lineRule="atLeast"/>
              <w:jc w:val="center"/>
              <w:rPr>
                <w:rFonts w:ascii="宋体" w:hAnsi="宋体" w:eastAsia="宋体" w:cs="方正仿宋简体"/>
                <w:color w:val="000000"/>
                <w:szCs w:val="21"/>
              </w:rPr>
            </w:pPr>
            <w:r>
              <w:rPr>
                <w:rFonts w:hint="eastAsia" w:ascii="宋体" w:hAnsi="宋体" w:eastAsia="宋体" w:cs="方正仿宋简体"/>
                <w:color w:val="000000"/>
                <w:szCs w:val="21"/>
              </w:rPr>
              <w:t>必修课</w:t>
            </w:r>
          </w:p>
        </w:tc>
        <w:tc>
          <w:tcPr>
            <w:tcW w:w="368" w:type="pct"/>
            <w:noWrap/>
            <w:vAlign w:val="center"/>
          </w:tcPr>
          <w:p>
            <w:pPr>
              <w:adjustRightInd w:val="0"/>
              <w:snapToGrid w:val="0"/>
              <w:spacing w:line="500" w:lineRule="atLeast"/>
              <w:jc w:val="center"/>
              <w:rPr>
                <w:rFonts w:ascii="宋体" w:hAnsi="宋体" w:eastAsia="宋体" w:cs="方正仿宋简体"/>
                <w:color w:val="000000"/>
                <w:szCs w:val="21"/>
              </w:rPr>
            </w:pPr>
            <w:r>
              <w:rPr>
                <w:rFonts w:hint="eastAsia" w:ascii="宋体" w:hAnsi="宋体" w:eastAsia="宋体" w:cs="方正仿宋简体"/>
                <w:color w:val="000000"/>
                <w:szCs w:val="21"/>
              </w:rPr>
              <w:t>3</w:t>
            </w:r>
          </w:p>
        </w:tc>
        <w:tc>
          <w:tcPr>
            <w:tcW w:w="1459" w:type="pct"/>
            <w:noWrap/>
            <w:vAlign w:val="center"/>
          </w:tcPr>
          <w:p>
            <w:pPr>
              <w:adjustRightInd w:val="0"/>
              <w:snapToGrid w:val="0"/>
              <w:spacing w:line="500" w:lineRule="atLeast"/>
              <w:jc w:val="center"/>
              <w:rPr>
                <w:rFonts w:ascii="宋体" w:hAnsi="宋体" w:eastAsia="宋体" w:cs="方正仿宋简体"/>
                <w:color w:val="000000"/>
                <w:szCs w:val="21"/>
              </w:rPr>
            </w:pPr>
            <w:r>
              <w:rPr>
                <w:rFonts w:hint="eastAsia" w:ascii="宋体" w:hAnsi="宋体" w:eastAsia="宋体" w:cs="方正仿宋简体"/>
                <w:color w:val="000000"/>
                <w:szCs w:val="21"/>
              </w:rPr>
              <w:t>郑海荣</w:t>
            </w:r>
          </w:p>
        </w:tc>
        <w:tc>
          <w:tcPr>
            <w:tcW w:w="611" w:type="pct"/>
            <w:noWrap/>
            <w:vAlign w:val="center"/>
          </w:tcPr>
          <w:p>
            <w:pPr>
              <w:adjustRightInd w:val="0"/>
              <w:snapToGrid w:val="0"/>
              <w:spacing w:line="500" w:lineRule="atLeast"/>
              <w:jc w:val="center"/>
              <w:rPr>
                <w:rFonts w:ascii="宋体" w:hAnsi="宋体" w:eastAsia="宋体" w:cs="方正仿宋简体"/>
                <w:color w:val="000000"/>
                <w:szCs w:val="21"/>
              </w:rPr>
            </w:pPr>
            <w:r>
              <w:rPr>
                <w:rFonts w:hint="eastAsia" w:ascii="宋体" w:hAnsi="宋体" w:eastAsia="宋体" w:cs="方正仿宋简体"/>
                <w:color w:val="000000"/>
                <w:szCs w:val="21"/>
              </w:rPr>
              <w:t>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368" w:type="pct"/>
            <w:noWrap/>
            <w:vAlign w:val="center"/>
          </w:tcPr>
          <w:p>
            <w:pPr>
              <w:spacing w:line="500" w:lineRule="atLeast"/>
              <w:jc w:val="center"/>
              <w:textAlignment w:val="center"/>
              <w:rPr>
                <w:rFonts w:ascii="宋体" w:hAnsi="宋体" w:eastAsia="宋体"/>
              </w:rPr>
            </w:pPr>
            <w:r>
              <w:rPr>
                <w:rFonts w:ascii="宋体" w:hAnsi="宋体" w:eastAsia="宋体"/>
              </w:rPr>
              <w:t>20</w:t>
            </w:r>
          </w:p>
        </w:tc>
        <w:tc>
          <w:tcPr>
            <w:tcW w:w="1580" w:type="pct"/>
            <w:noWrap/>
            <w:vAlign w:val="center"/>
          </w:tcPr>
          <w:p>
            <w:pPr>
              <w:adjustRightInd w:val="0"/>
              <w:snapToGrid w:val="0"/>
              <w:spacing w:line="500" w:lineRule="atLeast"/>
              <w:jc w:val="center"/>
              <w:rPr>
                <w:rFonts w:ascii="宋体" w:hAnsi="宋体" w:eastAsia="宋体" w:cs="方正仿宋简体"/>
                <w:color w:val="000000"/>
                <w:szCs w:val="21"/>
              </w:rPr>
            </w:pPr>
            <w:r>
              <w:rPr>
                <w:rFonts w:hint="eastAsia" w:ascii="宋体" w:hAnsi="宋体" w:eastAsia="宋体" w:cs="方正仿宋简体"/>
                <w:color w:val="000000"/>
                <w:szCs w:val="21"/>
              </w:rPr>
              <w:t>金融风险管理</w:t>
            </w:r>
          </w:p>
        </w:tc>
        <w:tc>
          <w:tcPr>
            <w:tcW w:w="611" w:type="pct"/>
            <w:noWrap/>
            <w:vAlign w:val="center"/>
          </w:tcPr>
          <w:p>
            <w:pPr>
              <w:adjustRightInd w:val="0"/>
              <w:snapToGrid w:val="0"/>
              <w:spacing w:line="500" w:lineRule="atLeast"/>
              <w:jc w:val="center"/>
              <w:rPr>
                <w:rFonts w:ascii="宋体" w:hAnsi="宋体" w:eastAsia="宋体" w:cs="方正仿宋简体"/>
                <w:color w:val="000000"/>
                <w:szCs w:val="21"/>
              </w:rPr>
            </w:pPr>
            <w:r>
              <w:rPr>
                <w:rFonts w:hint="eastAsia" w:ascii="宋体" w:hAnsi="宋体" w:eastAsia="宋体" w:cs="方正仿宋简体"/>
                <w:color w:val="000000"/>
                <w:szCs w:val="21"/>
              </w:rPr>
              <w:t>必修课</w:t>
            </w:r>
          </w:p>
        </w:tc>
        <w:tc>
          <w:tcPr>
            <w:tcW w:w="368" w:type="pct"/>
            <w:noWrap/>
            <w:vAlign w:val="center"/>
          </w:tcPr>
          <w:p>
            <w:pPr>
              <w:adjustRightInd w:val="0"/>
              <w:snapToGrid w:val="0"/>
              <w:spacing w:line="500" w:lineRule="atLeast"/>
              <w:jc w:val="center"/>
              <w:rPr>
                <w:rFonts w:ascii="宋体" w:hAnsi="宋体" w:eastAsia="宋体" w:cs="方正仿宋简体"/>
                <w:color w:val="000000"/>
                <w:szCs w:val="21"/>
              </w:rPr>
            </w:pPr>
            <w:r>
              <w:rPr>
                <w:rFonts w:hint="eastAsia" w:ascii="宋体" w:hAnsi="宋体" w:eastAsia="宋体" w:cs="方正仿宋简体"/>
                <w:color w:val="000000"/>
                <w:szCs w:val="21"/>
              </w:rPr>
              <w:t>2</w:t>
            </w:r>
          </w:p>
        </w:tc>
        <w:tc>
          <w:tcPr>
            <w:tcW w:w="1459" w:type="pct"/>
            <w:noWrap/>
            <w:vAlign w:val="center"/>
          </w:tcPr>
          <w:p>
            <w:pPr>
              <w:adjustRightInd w:val="0"/>
              <w:snapToGrid w:val="0"/>
              <w:spacing w:line="500" w:lineRule="atLeast"/>
              <w:jc w:val="center"/>
              <w:rPr>
                <w:rFonts w:ascii="宋体" w:hAnsi="宋体" w:eastAsia="宋体" w:cs="方正仿宋简体"/>
                <w:color w:val="000000"/>
                <w:szCs w:val="21"/>
              </w:rPr>
            </w:pPr>
            <w:r>
              <w:rPr>
                <w:rFonts w:hint="eastAsia" w:ascii="宋体" w:hAnsi="宋体" w:eastAsia="宋体" w:cs="方正仿宋简体"/>
                <w:color w:val="000000"/>
                <w:szCs w:val="21"/>
              </w:rPr>
              <w:t>张小芹；刘杰</w:t>
            </w:r>
          </w:p>
        </w:tc>
        <w:tc>
          <w:tcPr>
            <w:tcW w:w="611" w:type="pct"/>
            <w:noWrap/>
            <w:vAlign w:val="center"/>
          </w:tcPr>
          <w:p>
            <w:pPr>
              <w:adjustRightInd w:val="0"/>
              <w:snapToGrid w:val="0"/>
              <w:spacing w:line="500" w:lineRule="atLeast"/>
              <w:jc w:val="center"/>
              <w:rPr>
                <w:rFonts w:ascii="宋体" w:hAnsi="宋体" w:eastAsia="宋体" w:cs="方正仿宋简体"/>
                <w:color w:val="000000"/>
                <w:szCs w:val="21"/>
              </w:rPr>
            </w:pPr>
            <w:r>
              <w:rPr>
                <w:rFonts w:hint="eastAsia" w:ascii="宋体" w:hAnsi="宋体" w:eastAsia="宋体" w:cs="方正仿宋简体"/>
                <w:color w:val="000000"/>
                <w:szCs w:val="21"/>
              </w:rPr>
              <w:t>中文</w:t>
            </w:r>
          </w:p>
        </w:tc>
      </w:tr>
    </w:tbl>
    <w:p>
      <w:pPr>
        <w:spacing w:line="500" w:lineRule="atLeast"/>
        <w:rPr>
          <w:rFonts w:ascii="宋体" w:hAnsi="宋体" w:eastAsia="宋体"/>
          <w:b/>
          <w:bCs/>
          <w:sz w:val="24"/>
        </w:rPr>
      </w:pPr>
    </w:p>
    <w:p>
      <w:pPr>
        <w:spacing w:line="500" w:lineRule="atLeast"/>
        <w:rPr>
          <w:rFonts w:ascii="宋体" w:hAnsi="宋体" w:eastAsia="宋体"/>
          <w:b/>
          <w:bCs/>
          <w:sz w:val="24"/>
        </w:rPr>
      </w:pPr>
      <w:r>
        <w:rPr>
          <w:rFonts w:hint="eastAsia" w:ascii="宋体" w:hAnsi="宋体" w:eastAsia="宋体"/>
          <w:b/>
          <w:bCs/>
          <w:sz w:val="24"/>
        </w:rPr>
        <w:t>（4）课外讲座</w:t>
      </w:r>
    </w:p>
    <w:p>
      <w:pPr>
        <w:spacing w:line="500" w:lineRule="atLeast"/>
        <w:jc w:val="center"/>
        <w:rPr>
          <w:rFonts w:ascii="宋体" w:hAnsi="宋体" w:eastAsia="宋体"/>
          <w:b/>
          <w:bCs/>
          <w:sz w:val="24"/>
        </w:rPr>
      </w:pPr>
      <w:bookmarkStart w:id="2" w:name="OLE_LINK36"/>
      <w:bookmarkStart w:id="3" w:name="OLE_LINK35"/>
      <w:r>
        <w:rPr>
          <w:rFonts w:hint="eastAsia" w:ascii="宋体" w:hAnsi="宋体" w:eastAsia="宋体"/>
          <w:b/>
          <w:bCs/>
          <w:sz w:val="24"/>
        </w:rPr>
        <w:t>表5 本学位点课外讲座情况</w:t>
      </w:r>
    </w:p>
    <w:bookmarkEnd w:id="2"/>
    <w:bookmarkEnd w:id="3"/>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69"/>
        <w:gridCol w:w="2392"/>
        <w:gridCol w:w="1042"/>
        <w:gridCol w:w="1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2" w:type="pct"/>
            <w:vAlign w:val="center"/>
          </w:tcPr>
          <w:p>
            <w:pPr>
              <w:widowControl/>
              <w:spacing w:line="500" w:lineRule="atLeast"/>
              <w:textAlignment w:val="center"/>
              <w:rPr>
                <w:rFonts w:ascii="宋体" w:hAnsi="宋体" w:eastAsia="宋体" w:cs="Times New Roman"/>
                <w:b/>
                <w:bCs/>
                <w:kern w:val="0"/>
                <w:szCs w:val="21"/>
              </w:rPr>
            </w:pPr>
            <w:r>
              <w:rPr>
                <w:rFonts w:hint="eastAsia" w:ascii="宋体" w:hAnsi="宋体" w:eastAsia="宋体" w:cs="宋体"/>
                <w:color w:val="000000"/>
                <w:kern w:val="0"/>
                <w:szCs w:val="21"/>
                <w:lang w:bidi="ar"/>
              </w:rPr>
              <w:t>名称</w:t>
            </w:r>
          </w:p>
        </w:tc>
        <w:tc>
          <w:tcPr>
            <w:tcW w:w="1402" w:type="pct"/>
            <w:vAlign w:val="center"/>
          </w:tcPr>
          <w:p>
            <w:pPr>
              <w:widowControl/>
              <w:spacing w:line="500" w:lineRule="atLeast"/>
              <w:textAlignment w:val="center"/>
              <w:rPr>
                <w:rFonts w:ascii="宋体" w:hAnsi="宋体" w:eastAsia="宋体" w:cs="Times New Roman"/>
                <w:b/>
                <w:bCs/>
                <w:kern w:val="0"/>
                <w:szCs w:val="21"/>
              </w:rPr>
            </w:pPr>
            <w:r>
              <w:rPr>
                <w:rFonts w:hint="eastAsia" w:ascii="宋体" w:hAnsi="宋体" w:eastAsia="宋体" w:cs="宋体"/>
                <w:color w:val="000000"/>
                <w:kern w:val="0"/>
                <w:szCs w:val="21"/>
                <w:lang w:bidi="ar"/>
              </w:rPr>
              <w:t>时间</w:t>
            </w:r>
          </w:p>
        </w:tc>
        <w:tc>
          <w:tcPr>
            <w:tcW w:w="611" w:type="pct"/>
            <w:vAlign w:val="center"/>
          </w:tcPr>
          <w:p>
            <w:pPr>
              <w:widowControl/>
              <w:spacing w:line="500" w:lineRule="atLeast"/>
              <w:textAlignment w:val="center"/>
              <w:rPr>
                <w:rFonts w:ascii="宋体" w:hAnsi="宋体" w:eastAsia="宋体" w:cs="Times New Roman"/>
                <w:b/>
                <w:bCs/>
                <w:kern w:val="0"/>
                <w:szCs w:val="21"/>
              </w:rPr>
            </w:pPr>
            <w:r>
              <w:rPr>
                <w:rFonts w:hint="eastAsia" w:ascii="宋体" w:hAnsi="宋体" w:eastAsia="宋体" w:cs="宋体"/>
                <w:color w:val="000000"/>
                <w:kern w:val="0"/>
                <w:szCs w:val="21"/>
                <w:lang w:bidi="ar"/>
              </w:rPr>
              <w:t>地点</w:t>
            </w:r>
          </w:p>
        </w:tc>
        <w:tc>
          <w:tcPr>
            <w:tcW w:w="893" w:type="pct"/>
            <w:vAlign w:val="center"/>
          </w:tcPr>
          <w:p>
            <w:pPr>
              <w:widowControl/>
              <w:spacing w:line="500" w:lineRule="atLeast"/>
              <w:textAlignment w:val="center"/>
              <w:rPr>
                <w:rFonts w:ascii="宋体" w:hAnsi="宋体" w:eastAsia="宋体" w:cs="Times New Roman"/>
                <w:b/>
                <w:bCs/>
                <w:kern w:val="0"/>
                <w:szCs w:val="21"/>
              </w:rPr>
            </w:pPr>
            <w:r>
              <w:rPr>
                <w:rFonts w:hint="eastAsia" w:ascii="宋体" w:hAnsi="宋体" w:eastAsia="宋体" w:cs="宋体"/>
                <w:color w:val="000000"/>
                <w:kern w:val="0"/>
                <w:szCs w:val="21"/>
                <w:lang w:bidi="ar"/>
              </w:rPr>
              <w:t>主讲人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2" w:type="pct"/>
            <w:vAlign w:val="center"/>
          </w:tcPr>
          <w:p>
            <w:pPr>
              <w:widowControl/>
              <w:spacing w:line="500" w:lineRule="atLeast"/>
              <w:textAlignment w:val="center"/>
              <w:rPr>
                <w:rFonts w:ascii="宋体" w:hAnsi="宋体" w:eastAsia="宋体" w:cs="Times New Roman"/>
                <w:b/>
                <w:bCs/>
                <w:kern w:val="0"/>
                <w:szCs w:val="21"/>
              </w:rPr>
            </w:pPr>
            <w:r>
              <w:rPr>
                <w:rFonts w:hint="eastAsia" w:ascii="宋体" w:hAnsi="宋体" w:eastAsia="宋体" w:cs="宋体"/>
                <w:color w:val="000000"/>
                <w:kern w:val="0"/>
                <w:szCs w:val="21"/>
                <w:lang w:bidi="ar"/>
              </w:rPr>
              <w:t>茶的由来——安溪铁观音的前世今生</w:t>
            </w:r>
          </w:p>
        </w:tc>
        <w:tc>
          <w:tcPr>
            <w:tcW w:w="1402" w:type="pct"/>
            <w:vAlign w:val="center"/>
          </w:tcPr>
          <w:p>
            <w:pPr>
              <w:widowControl/>
              <w:spacing w:line="500" w:lineRule="atLeast"/>
              <w:textAlignment w:val="center"/>
              <w:rPr>
                <w:rFonts w:ascii="宋体" w:hAnsi="宋体" w:eastAsia="宋体" w:cs="Times New Roman"/>
                <w:b/>
                <w:bCs/>
                <w:kern w:val="0"/>
                <w:szCs w:val="21"/>
              </w:rPr>
            </w:pPr>
            <w:r>
              <w:rPr>
                <w:rFonts w:hint="eastAsia" w:ascii="宋体" w:hAnsi="宋体" w:eastAsia="宋体" w:cs="宋体"/>
                <w:color w:val="000000"/>
                <w:kern w:val="0"/>
                <w:szCs w:val="21"/>
                <w:lang w:bidi="ar"/>
              </w:rPr>
              <w:t>2020年11月12日（周四）上午10:30</w:t>
            </w:r>
          </w:p>
        </w:tc>
        <w:tc>
          <w:tcPr>
            <w:tcW w:w="611" w:type="pct"/>
            <w:vAlign w:val="center"/>
          </w:tcPr>
          <w:p>
            <w:pPr>
              <w:widowControl/>
              <w:spacing w:line="500" w:lineRule="atLeast"/>
              <w:textAlignment w:val="center"/>
              <w:rPr>
                <w:rFonts w:ascii="宋体" w:hAnsi="宋体" w:eastAsia="宋体" w:cs="Times New Roman"/>
                <w:b/>
                <w:bCs/>
                <w:kern w:val="0"/>
                <w:szCs w:val="21"/>
              </w:rPr>
            </w:pPr>
            <w:r>
              <w:rPr>
                <w:rFonts w:hint="eastAsia" w:ascii="宋体" w:hAnsi="宋体" w:eastAsia="宋体" w:cs="宋体"/>
                <w:color w:val="000000"/>
                <w:kern w:val="0"/>
                <w:szCs w:val="21"/>
                <w:lang w:bidi="ar"/>
              </w:rPr>
              <w:t>经济学院314</w:t>
            </w:r>
          </w:p>
        </w:tc>
        <w:tc>
          <w:tcPr>
            <w:tcW w:w="893" w:type="pct"/>
            <w:vAlign w:val="center"/>
          </w:tcPr>
          <w:p>
            <w:pPr>
              <w:widowControl/>
              <w:spacing w:line="500" w:lineRule="atLeast"/>
              <w:textAlignment w:val="center"/>
              <w:rPr>
                <w:rFonts w:ascii="宋体" w:hAnsi="宋体" w:eastAsia="宋体" w:cs="Times New Roman"/>
                <w:b/>
                <w:bCs/>
                <w:kern w:val="0"/>
                <w:szCs w:val="21"/>
              </w:rPr>
            </w:pPr>
            <w:r>
              <w:rPr>
                <w:rFonts w:hint="eastAsia" w:ascii="宋体" w:hAnsi="宋体" w:eastAsia="宋体" w:cs="宋体"/>
                <w:color w:val="000000"/>
                <w:kern w:val="0"/>
                <w:szCs w:val="21"/>
                <w:lang w:bidi="ar"/>
              </w:rPr>
              <w:t>魏月德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2" w:type="pct"/>
            <w:vAlign w:val="center"/>
          </w:tcPr>
          <w:p>
            <w:pPr>
              <w:widowControl/>
              <w:spacing w:line="500" w:lineRule="atLeast"/>
              <w:textAlignment w:val="center"/>
              <w:rPr>
                <w:rFonts w:ascii="宋体" w:hAnsi="宋体" w:eastAsia="宋体" w:cs="Times New Roman"/>
                <w:b/>
                <w:bCs/>
                <w:kern w:val="0"/>
                <w:szCs w:val="21"/>
              </w:rPr>
            </w:pPr>
            <w:r>
              <w:rPr>
                <w:rFonts w:hint="eastAsia" w:ascii="宋体" w:hAnsi="宋体" w:eastAsia="宋体" w:cs="宋体"/>
                <w:color w:val="000000"/>
                <w:kern w:val="0"/>
                <w:szCs w:val="21"/>
                <w:lang w:bidi="ar"/>
              </w:rPr>
              <w:t>第四届“三农论坛”</w:t>
            </w:r>
          </w:p>
        </w:tc>
        <w:tc>
          <w:tcPr>
            <w:tcW w:w="1402" w:type="pct"/>
            <w:vAlign w:val="center"/>
          </w:tcPr>
          <w:p>
            <w:pPr>
              <w:widowControl/>
              <w:spacing w:line="500" w:lineRule="atLeast"/>
              <w:textAlignment w:val="center"/>
              <w:rPr>
                <w:rFonts w:ascii="宋体" w:hAnsi="宋体" w:eastAsia="宋体" w:cs="Times New Roman"/>
                <w:b/>
                <w:bCs/>
                <w:kern w:val="0"/>
                <w:szCs w:val="21"/>
              </w:rPr>
            </w:pPr>
            <w:r>
              <w:rPr>
                <w:rFonts w:hint="eastAsia" w:ascii="宋体" w:hAnsi="宋体" w:eastAsia="宋体" w:cs="宋体"/>
                <w:color w:val="000000"/>
                <w:kern w:val="0"/>
                <w:szCs w:val="21"/>
                <w:lang w:bidi="ar"/>
              </w:rPr>
              <w:t>2020年9月26日8点40分</w:t>
            </w:r>
          </w:p>
        </w:tc>
        <w:tc>
          <w:tcPr>
            <w:tcW w:w="611" w:type="pct"/>
            <w:vAlign w:val="center"/>
          </w:tcPr>
          <w:p>
            <w:pPr>
              <w:widowControl/>
              <w:spacing w:line="500" w:lineRule="atLeast"/>
              <w:textAlignment w:val="center"/>
              <w:rPr>
                <w:rFonts w:ascii="宋体" w:hAnsi="宋体" w:eastAsia="宋体" w:cs="Times New Roman"/>
                <w:b/>
                <w:bCs/>
                <w:kern w:val="0"/>
                <w:szCs w:val="21"/>
              </w:rPr>
            </w:pPr>
            <w:r>
              <w:rPr>
                <w:rFonts w:hint="eastAsia" w:ascii="宋体" w:hAnsi="宋体" w:eastAsia="宋体" w:cs="宋体"/>
                <w:color w:val="000000"/>
                <w:kern w:val="0"/>
                <w:szCs w:val="21"/>
                <w:lang w:bidi="ar"/>
              </w:rPr>
              <w:t>经济学院314</w:t>
            </w:r>
          </w:p>
        </w:tc>
        <w:tc>
          <w:tcPr>
            <w:tcW w:w="893" w:type="pct"/>
            <w:vAlign w:val="center"/>
          </w:tcPr>
          <w:p>
            <w:pPr>
              <w:widowControl/>
              <w:spacing w:line="500" w:lineRule="atLeast"/>
              <w:textAlignment w:val="center"/>
              <w:rPr>
                <w:rFonts w:ascii="宋体" w:hAnsi="宋体" w:eastAsia="宋体" w:cs="Times New Roman"/>
                <w:b/>
                <w:bCs/>
                <w:kern w:val="0"/>
                <w:szCs w:val="21"/>
              </w:rPr>
            </w:pPr>
            <w:r>
              <w:rPr>
                <w:rFonts w:hint="eastAsia" w:ascii="宋体" w:hAnsi="宋体" w:eastAsia="宋体" w:cs="宋体"/>
                <w:color w:val="000000"/>
                <w:kern w:val="0"/>
                <w:szCs w:val="21"/>
                <w:lang w:bidi="ar"/>
              </w:rPr>
              <w:t>叶兴庆，刘伟平，魏后凯，王亚华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2" w:type="pct"/>
            <w:vAlign w:val="center"/>
          </w:tcPr>
          <w:p>
            <w:pPr>
              <w:widowControl/>
              <w:spacing w:line="500" w:lineRule="atLeast"/>
              <w:textAlignment w:val="center"/>
              <w:rPr>
                <w:rFonts w:ascii="宋体" w:hAnsi="宋体" w:eastAsia="宋体" w:cs="Times New Roman"/>
                <w:b/>
                <w:bCs/>
                <w:kern w:val="0"/>
                <w:szCs w:val="21"/>
              </w:rPr>
            </w:pPr>
            <w:r>
              <w:rPr>
                <w:rFonts w:hint="eastAsia" w:ascii="宋体" w:hAnsi="宋体" w:eastAsia="宋体" w:cs="宋体"/>
                <w:color w:val="000000"/>
                <w:kern w:val="0"/>
                <w:szCs w:val="21"/>
                <w:lang w:bidi="ar"/>
              </w:rPr>
              <w:t>讲座题目：农村土地经营权融资担保制度构建与农村信贷市场激发——从供给侧对试点效果的实证分析</w:t>
            </w:r>
          </w:p>
        </w:tc>
        <w:tc>
          <w:tcPr>
            <w:tcW w:w="1402" w:type="pct"/>
            <w:vAlign w:val="center"/>
          </w:tcPr>
          <w:p>
            <w:pPr>
              <w:widowControl/>
              <w:spacing w:line="500" w:lineRule="atLeast"/>
              <w:textAlignment w:val="center"/>
              <w:rPr>
                <w:rFonts w:ascii="宋体" w:hAnsi="宋体" w:eastAsia="宋体" w:cs="Times New Roman"/>
                <w:b/>
                <w:bCs/>
                <w:kern w:val="0"/>
                <w:szCs w:val="21"/>
              </w:rPr>
            </w:pPr>
            <w:r>
              <w:rPr>
                <w:rFonts w:hint="eastAsia" w:ascii="宋体" w:hAnsi="宋体" w:eastAsia="宋体" w:cs="宋体"/>
                <w:color w:val="000000"/>
                <w:kern w:val="0"/>
                <w:szCs w:val="21"/>
                <w:lang w:bidi="ar"/>
              </w:rPr>
              <w:t>2020年12月27日（周日）下午15:00</w:t>
            </w:r>
          </w:p>
        </w:tc>
        <w:tc>
          <w:tcPr>
            <w:tcW w:w="611" w:type="pct"/>
            <w:vAlign w:val="center"/>
          </w:tcPr>
          <w:p>
            <w:pPr>
              <w:widowControl/>
              <w:spacing w:line="500" w:lineRule="atLeast"/>
              <w:textAlignment w:val="center"/>
              <w:rPr>
                <w:rFonts w:ascii="宋体" w:hAnsi="宋体" w:eastAsia="宋体" w:cs="Times New Roman"/>
                <w:b/>
                <w:bCs/>
                <w:kern w:val="0"/>
                <w:szCs w:val="21"/>
              </w:rPr>
            </w:pPr>
            <w:r>
              <w:rPr>
                <w:rFonts w:hint="eastAsia" w:ascii="宋体" w:hAnsi="宋体" w:eastAsia="宋体" w:cs="宋体"/>
                <w:color w:val="000000"/>
                <w:kern w:val="0"/>
                <w:szCs w:val="21"/>
                <w:lang w:bidi="ar"/>
              </w:rPr>
              <w:t>经济学院314</w:t>
            </w:r>
          </w:p>
        </w:tc>
        <w:tc>
          <w:tcPr>
            <w:tcW w:w="893" w:type="pct"/>
            <w:vAlign w:val="center"/>
          </w:tcPr>
          <w:p>
            <w:pPr>
              <w:widowControl/>
              <w:spacing w:line="500" w:lineRule="atLeast"/>
              <w:textAlignment w:val="center"/>
              <w:rPr>
                <w:rFonts w:ascii="宋体" w:hAnsi="宋体" w:eastAsia="宋体" w:cs="Times New Roman"/>
                <w:b/>
                <w:bCs/>
                <w:kern w:val="0"/>
                <w:szCs w:val="21"/>
              </w:rPr>
            </w:pPr>
            <w:r>
              <w:rPr>
                <w:rFonts w:hint="eastAsia" w:ascii="宋体" w:hAnsi="宋体" w:eastAsia="宋体" w:cs="宋体"/>
                <w:color w:val="000000"/>
                <w:kern w:val="0"/>
                <w:szCs w:val="21"/>
                <w:lang w:bidi="ar"/>
              </w:rPr>
              <w:t>马九杰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2" w:type="pct"/>
            <w:vAlign w:val="center"/>
          </w:tcPr>
          <w:p>
            <w:pPr>
              <w:widowControl/>
              <w:spacing w:line="500" w:lineRule="atLeast"/>
              <w:textAlignment w:val="center"/>
              <w:rPr>
                <w:rFonts w:ascii="宋体" w:hAnsi="宋体" w:eastAsia="宋体" w:cs="Times New Roman"/>
                <w:b/>
                <w:bCs/>
                <w:kern w:val="0"/>
                <w:szCs w:val="21"/>
              </w:rPr>
            </w:pPr>
            <w:r>
              <w:rPr>
                <w:rFonts w:hint="eastAsia" w:ascii="宋体" w:hAnsi="宋体" w:eastAsia="宋体" w:cs="宋体"/>
                <w:color w:val="000000"/>
                <w:kern w:val="0"/>
                <w:szCs w:val="21"/>
                <w:lang w:bidi="ar"/>
              </w:rPr>
              <w:t>我国农业发展的制度研究</w:t>
            </w:r>
          </w:p>
        </w:tc>
        <w:tc>
          <w:tcPr>
            <w:tcW w:w="1402" w:type="pct"/>
            <w:vAlign w:val="center"/>
          </w:tcPr>
          <w:p>
            <w:pPr>
              <w:widowControl/>
              <w:spacing w:line="500" w:lineRule="atLeast"/>
              <w:textAlignment w:val="center"/>
              <w:rPr>
                <w:rFonts w:ascii="宋体" w:hAnsi="宋体" w:eastAsia="宋体" w:cs="Times New Roman"/>
                <w:b/>
                <w:bCs/>
                <w:kern w:val="0"/>
                <w:szCs w:val="21"/>
              </w:rPr>
            </w:pPr>
            <w:r>
              <w:rPr>
                <w:rFonts w:hint="eastAsia" w:ascii="宋体" w:hAnsi="宋体" w:eastAsia="宋体" w:cs="宋体"/>
                <w:color w:val="000000"/>
                <w:kern w:val="0"/>
                <w:szCs w:val="21"/>
                <w:lang w:bidi="ar"/>
              </w:rPr>
              <w:t>2020年10月7日（周三）上午9:00</w:t>
            </w:r>
          </w:p>
        </w:tc>
        <w:tc>
          <w:tcPr>
            <w:tcW w:w="611" w:type="pct"/>
            <w:vAlign w:val="center"/>
          </w:tcPr>
          <w:p>
            <w:pPr>
              <w:widowControl/>
              <w:spacing w:line="500" w:lineRule="atLeast"/>
              <w:textAlignment w:val="center"/>
              <w:rPr>
                <w:rFonts w:ascii="宋体" w:hAnsi="宋体" w:eastAsia="宋体" w:cs="Times New Roman"/>
                <w:b/>
                <w:bCs/>
                <w:kern w:val="0"/>
                <w:szCs w:val="21"/>
              </w:rPr>
            </w:pPr>
            <w:r>
              <w:rPr>
                <w:rFonts w:hint="eastAsia" w:ascii="宋体" w:hAnsi="宋体" w:eastAsia="宋体" w:cs="宋体"/>
                <w:color w:val="000000"/>
                <w:kern w:val="0"/>
                <w:szCs w:val="21"/>
                <w:lang w:bidi="ar"/>
              </w:rPr>
              <w:t>经济学院314</w:t>
            </w:r>
          </w:p>
        </w:tc>
        <w:tc>
          <w:tcPr>
            <w:tcW w:w="893" w:type="pct"/>
            <w:vAlign w:val="center"/>
          </w:tcPr>
          <w:p>
            <w:pPr>
              <w:widowControl/>
              <w:spacing w:line="500" w:lineRule="atLeast"/>
              <w:textAlignment w:val="center"/>
              <w:rPr>
                <w:rFonts w:ascii="宋体" w:hAnsi="宋体" w:eastAsia="宋体" w:cs="Times New Roman"/>
                <w:b/>
                <w:bCs/>
                <w:kern w:val="0"/>
                <w:szCs w:val="21"/>
              </w:rPr>
            </w:pPr>
            <w:r>
              <w:rPr>
                <w:rFonts w:hint="eastAsia" w:ascii="宋体" w:hAnsi="宋体" w:eastAsia="宋体" w:cs="宋体"/>
                <w:color w:val="000000"/>
                <w:kern w:val="0"/>
                <w:szCs w:val="21"/>
                <w:lang w:bidi="ar"/>
              </w:rPr>
              <w:t>罗必良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2" w:type="pct"/>
            <w:vAlign w:val="center"/>
          </w:tcPr>
          <w:p>
            <w:pPr>
              <w:widowControl/>
              <w:spacing w:line="500" w:lineRule="atLeast"/>
              <w:textAlignment w:val="center"/>
              <w:rPr>
                <w:rFonts w:ascii="宋体" w:hAnsi="宋体" w:eastAsia="宋体" w:cs="Times New Roman"/>
                <w:b/>
                <w:bCs/>
                <w:kern w:val="0"/>
                <w:szCs w:val="21"/>
              </w:rPr>
            </w:pPr>
            <w:r>
              <w:rPr>
                <w:rFonts w:hint="eastAsia" w:ascii="宋体" w:hAnsi="宋体" w:eastAsia="宋体" w:cs="宋体"/>
                <w:color w:val="000000"/>
                <w:kern w:val="0"/>
                <w:szCs w:val="21"/>
                <w:lang w:bidi="ar"/>
              </w:rPr>
              <w:t>乡村振兴背景下的现代农业发展思考</w:t>
            </w:r>
          </w:p>
        </w:tc>
        <w:tc>
          <w:tcPr>
            <w:tcW w:w="1402" w:type="pct"/>
            <w:vAlign w:val="center"/>
          </w:tcPr>
          <w:p>
            <w:pPr>
              <w:widowControl/>
              <w:spacing w:line="500" w:lineRule="atLeast"/>
              <w:textAlignment w:val="center"/>
              <w:rPr>
                <w:rFonts w:ascii="宋体" w:hAnsi="宋体" w:eastAsia="宋体" w:cs="Times New Roman"/>
                <w:b/>
                <w:bCs/>
                <w:kern w:val="0"/>
                <w:szCs w:val="21"/>
              </w:rPr>
            </w:pPr>
            <w:r>
              <w:rPr>
                <w:rFonts w:hint="eastAsia" w:ascii="宋体" w:hAnsi="宋体" w:eastAsia="宋体" w:cs="宋体"/>
                <w:color w:val="000000"/>
                <w:kern w:val="0"/>
                <w:szCs w:val="21"/>
                <w:lang w:bidi="ar"/>
              </w:rPr>
              <w:t>2020年11月15日（星期日）下午15:00-17：00</w:t>
            </w:r>
          </w:p>
        </w:tc>
        <w:tc>
          <w:tcPr>
            <w:tcW w:w="611" w:type="pct"/>
            <w:vAlign w:val="center"/>
          </w:tcPr>
          <w:p>
            <w:pPr>
              <w:widowControl/>
              <w:spacing w:line="500" w:lineRule="atLeast"/>
              <w:textAlignment w:val="center"/>
              <w:rPr>
                <w:rFonts w:ascii="宋体" w:hAnsi="宋体" w:eastAsia="宋体" w:cs="Times New Roman"/>
                <w:b/>
                <w:bCs/>
                <w:kern w:val="0"/>
                <w:szCs w:val="21"/>
              </w:rPr>
            </w:pPr>
            <w:r>
              <w:rPr>
                <w:rFonts w:hint="eastAsia" w:ascii="宋体" w:hAnsi="宋体" w:eastAsia="宋体" w:cs="宋体"/>
                <w:color w:val="000000"/>
                <w:kern w:val="0"/>
                <w:szCs w:val="21"/>
                <w:lang w:bidi="ar"/>
              </w:rPr>
              <w:t>常盛会议中心</w:t>
            </w:r>
          </w:p>
        </w:tc>
        <w:tc>
          <w:tcPr>
            <w:tcW w:w="893" w:type="pct"/>
            <w:vAlign w:val="center"/>
          </w:tcPr>
          <w:p>
            <w:pPr>
              <w:widowControl/>
              <w:spacing w:line="500" w:lineRule="atLeast"/>
              <w:textAlignment w:val="center"/>
              <w:rPr>
                <w:rFonts w:ascii="宋体" w:hAnsi="宋体" w:eastAsia="宋体" w:cs="Times New Roman"/>
                <w:b/>
                <w:bCs/>
                <w:kern w:val="0"/>
                <w:szCs w:val="21"/>
              </w:rPr>
            </w:pPr>
            <w:r>
              <w:rPr>
                <w:rFonts w:hint="eastAsia" w:ascii="宋体" w:hAnsi="宋体" w:eastAsia="宋体" w:cs="宋体"/>
                <w:color w:val="000000"/>
                <w:kern w:val="0"/>
                <w:szCs w:val="21"/>
                <w:lang w:bidi="ar"/>
              </w:rPr>
              <w:t>杨金发教授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2" w:type="pct"/>
            <w:vAlign w:val="center"/>
          </w:tcPr>
          <w:p>
            <w:pPr>
              <w:widowControl/>
              <w:spacing w:line="500" w:lineRule="atLeast"/>
              <w:textAlignment w:val="center"/>
              <w:rPr>
                <w:rFonts w:ascii="宋体" w:hAnsi="宋体" w:eastAsia="宋体" w:cs="Times New Roman"/>
                <w:b/>
                <w:bCs/>
                <w:kern w:val="0"/>
                <w:szCs w:val="21"/>
              </w:rPr>
            </w:pPr>
            <w:r>
              <w:rPr>
                <w:rFonts w:hint="eastAsia" w:ascii="宋体" w:hAnsi="宋体" w:eastAsia="宋体" w:cs="宋体"/>
                <w:color w:val="000000"/>
                <w:kern w:val="0"/>
                <w:szCs w:val="21"/>
                <w:lang w:bidi="ar"/>
              </w:rPr>
              <w:t>乡村振兴政策解读</w:t>
            </w:r>
          </w:p>
        </w:tc>
        <w:tc>
          <w:tcPr>
            <w:tcW w:w="1402" w:type="pct"/>
            <w:vAlign w:val="center"/>
          </w:tcPr>
          <w:p>
            <w:pPr>
              <w:widowControl/>
              <w:spacing w:line="500" w:lineRule="atLeast"/>
              <w:textAlignment w:val="center"/>
              <w:rPr>
                <w:rFonts w:ascii="宋体" w:hAnsi="宋体" w:eastAsia="宋体" w:cs="Times New Roman"/>
                <w:b/>
                <w:bCs/>
                <w:kern w:val="0"/>
                <w:szCs w:val="21"/>
              </w:rPr>
            </w:pPr>
            <w:r>
              <w:rPr>
                <w:rFonts w:hint="eastAsia" w:ascii="宋体" w:hAnsi="宋体" w:eastAsia="宋体" w:cs="宋体"/>
                <w:color w:val="000000"/>
                <w:kern w:val="0"/>
                <w:szCs w:val="21"/>
                <w:lang w:bidi="ar"/>
              </w:rPr>
              <w:t>2020年9月26日16：30</w:t>
            </w:r>
          </w:p>
        </w:tc>
        <w:tc>
          <w:tcPr>
            <w:tcW w:w="611" w:type="pct"/>
            <w:vAlign w:val="center"/>
          </w:tcPr>
          <w:p>
            <w:pPr>
              <w:widowControl/>
              <w:spacing w:line="500" w:lineRule="atLeast"/>
              <w:textAlignment w:val="center"/>
              <w:rPr>
                <w:rFonts w:ascii="宋体" w:hAnsi="宋体" w:eastAsia="宋体" w:cs="Times New Roman"/>
                <w:b/>
                <w:bCs/>
                <w:kern w:val="0"/>
                <w:szCs w:val="21"/>
              </w:rPr>
            </w:pPr>
            <w:r>
              <w:rPr>
                <w:rFonts w:hint="eastAsia" w:ascii="宋体" w:hAnsi="宋体" w:eastAsia="宋体" w:cs="宋体"/>
                <w:color w:val="000000"/>
                <w:kern w:val="0"/>
                <w:szCs w:val="21"/>
                <w:lang w:bidi="ar"/>
              </w:rPr>
              <w:t>经济学院314</w:t>
            </w:r>
          </w:p>
        </w:tc>
        <w:tc>
          <w:tcPr>
            <w:tcW w:w="893" w:type="pct"/>
            <w:vAlign w:val="center"/>
          </w:tcPr>
          <w:p>
            <w:pPr>
              <w:widowControl/>
              <w:spacing w:line="500" w:lineRule="atLeast"/>
              <w:textAlignment w:val="center"/>
              <w:rPr>
                <w:rFonts w:ascii="宋体" w:hAnsi="宋体" w:eastAsia="宋体" w:cs="Times New Roman"/>
                <w:b/>
                <w:bCs/>
                <w:kern w:val="0"/>
                <w:szCs w:val="21"/>
              </w:rPr>
            </w:pPr>
            <w:r>
              <w:rPr>
                <w:rFonts w:hint="eastAsia" w:ascii="宋体" w:hAnsi="宋体" w:eastAsia="宋体" w:cs="宋体"/>
                <w:color w:val="000000"/>
                <w:kern w:val="0"/>
                <w:szCs w:val="21"/>
                <w:lang w:bidi="ar"/>
              </w:rPr>
              <w:t>潘劲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2" w:type="pct"/>
            <w:vAlign w:val="center"/>
          </w:tcPr>
          <w:p>
            <w:pPr>
              <w:widowControl/>
              <w:spacing w:line="500" w:lineRule="atLeast"/>
              <w:textAlignment w:val="center"/>
              <w:rPr>
                <w:rFonts w:ascii="宋体" w:hAnsi="宋体" w:eastAsia="宋体" w:cs="Times New Roman"/>
                <w:b/>
                <w:bCs/>
                <w:kern w:val="0"/>
                <w:szCs w:val="21"/>
              </w:rPr>
            </w:pPr>
            <w:r>
              <w:rPr>
                <w:rFonts w:hint="eastAsia" w:ascii="宋体" w:hAnsi="宋体" w:eastAsia="宋体" w:cs="宋体"/>
                <w:color w:val="000000"/>
                <w:kern w:val="0"/>
                <w:szCs w:val="21"/>
                <w:lang w:bidi="ar"/>
              </w:rPr>
              <w:t>学术预告：粮食安全双循环格局——基于大豆产业20年的实证评述</w:t>
            </w:r>
          </w:p>
        </w:tc>
        <w:tc>
          <w:tcPr>
            <w:tcW w:w="1402" w:type="pct"/>
            <w:vAlign w:val="center"/>
          </w:tcPr>
          <w:p>
            <w:pPr>
              <w:widowControl/>
              <w:spacing w:line="500" w:lineRule="atLeast"/>
              <w:textAlignment w:val="center"/>
              <w:rPr>
                <w:rFonts w:ascii="宋体" w:hAnsi="宋体" w:eastAsia="宋体" w:cs="Times New Roman"/>
                <w:b/>
                <w:bCs/>
                <w:kern w:val="0"/>
                <w:szCs w:val="21"/>
              </w:rPr>
            </w:pPr>
            <w:r>
              <w:rPr>
                <w:rFonts w:hint="eastAsia" w:ascii="宋体" w:hAnsi="宋体" w:eastAsia="宋体" w:cs="宋体"/>
                <w:color w:val="000000"/>
                <w:kern w:val="0"/>
                <w:szCs w:val="21"/>
                <w:lang w:bidi="ar"/>
              </w:rPr>
              <w:t>2020年10月19日（周一）上午9:00</w:t>
            </w:r>
          </w:p>
        </w:tc>
        <w:tc>
          <w:tcPr>
            <w:tcW w:w="611" w:type="pct"/>
            <w:vAlign w:val="center"/>
          </w:tcPr>
          <w:p>
            <w:pPr>
              <w:widowControl/>
              <w:spacing w:line="500" w:lineRule="atLeast"/>
              <w:textAlignment w:val="center"/>
              <w:rPr>
                <w:rFonts w:ascii="宋体" w:hAnsi="宋体" w:eastAsia="宋体" w:cs="Times New Roman"/>
                <w:b/>
                <w:bCs/>
                <w:kern w:val="0"/>
                <w:szCs w:val="21"/>
              </w:rPr>
            </w:pPr>
            <w:r>
              <w:rPr>
                <w:rFonts w:hint="eastAsia" w:ascii="宋体" w:hAnsi="宋体" w:eastAsia="宋体" w:cs="宋体"/>
                <w:color w:val="000000"/>
                <w:kern w:val="0"/>
                <w:szCs w:val="21"/>
                <w:lang w:bidi="ar"/>
              </w:rPr>
              <w:t>经济学院314</w:t>
            </w:r>
          </w:p>
        </w:tc>
        <w:tc>
          <w:tcPr>
            <w:tcW w:w="893" w:type="pct"/>
            <w:vAlign w:val="center"/>
          </w:tcPr>
          <w:p>
            <w:pPr>
              <w:widowControl/>
              <w:spacing w:line="500" w:lineRule="atLeast"/>
              <w:textAlignment w:val="center"/>
              <w:rPr>
                <w:rFonts w:ascii="宋体" w:hAnsi="宋体" w:eastAsia="宋体" w:cs="Times New Roman"/>
                <w:b/>
                <w:bCs/>
                <w:kern w:val="0"/>
                <w:szCs w:val="21"/>
              </w:rPr>
            </w:pPr>
            <w:r>
              <w:rPr>
                <w:rFonts w:hint="eastAsia" w:ascii="宋体" w:hAnsi="宋体" w:eastAsia="宋体" w:cs="宋体"/>
                <w:color w:val="000000"/>
                <w:kern w:val="0"/>
                <w:szCs w:val="21"/>
                <w:lang w:bidi="ar"/>
              </w:rPr>
              <w:t>程国强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2" w:type="pct"/>
            <w:vAlign w:val="center"/>
          </w:tcPr>
          <w:p>
            <w:pPr>
              <w:widowControl/>
              <w:spacing w:line="500" w:lineRule="atLeast"/>
              <w:textAlignment w:val="center"/>
              <w:rPr>
                <w:rFonts w:ascii="宋体" w:hAnsi="宋体" w:eastAsia="宋体" w:cs="Times New Roman"/>
                <w:b/>
                <w:bCs/>
                <w:kern w:val="0"/>
                <w:szCs w:val="21"/>
              </w:rPr>
            </w:pPr>
            <w:r>
              <w:rPr>
                <w:rFonts w:hint="eastAsia" w:ascii="宋体" w:hAnsi="宋体" w:eastAsia="宋体" w:cs="宋体"/>
                <w:color w:val="000000"/>
                <w:kern w:val="0"/>
                <w:szCs w:val="21"/>
                <w:lang w:bidi="ar"/>
              </w:rPr>
              <w:t>学术预告：乡村振兴的新背景、新思路、新举措</w:t>
            </w:r>
          </w:p>
        </w:tc>
        <w:tc>
          <w:tcPr>
            <w:tcW w:w="1402" w:type="pct"/>
            <w:vAlign w:val="center"/>
          </w:tcPr>
          <w:p>
            <w:pPr>
              <w:widowControl/>
              <w:spacing w:line="500" w:lineRule="atLeast"/>
              <w:textAlignment w:val="center"/>
              <w:rPr>
                <w:rFonts w:ascii="宋体" w:hAnsi="宋体" w:eastAsia="宋体" w:cs="Times New Roman"/>
                <w:b/>
                <w:bCs/>
                <w:kern w:val="0"/>
                <w:szCs w:val="21"/>
              </w:rPr>
            </w:pPr>
            <w:r>
              <w:rPr>
                <w:rFonts w:hint="eastAsia" w:ascii="宋体" w:hAnsi="宋体" w:eastAsia="宋体" w:cs="宋体"/>
                <w:color w:val="000000"/>
                <w:kern w:val="0"/>
                <w:szCs w:val="21"/>
                <w:lang w:bidi="ar"/>
              </w:rPr>
              <w:t>2020年10月21日（周三）上午8:30</w:t>
            </w:r>
          </w:p>
        </w:tc>
        <w:tc>
          <w:tcPr>
            <w:tcW w:w="611" w:type="pct"/>
            <w:vAlign w:val="center"/>
          </w:tcPr>
          <w:p>
            <w:pPr>
              <w:widowControl/>
              <w:spacing w:line="500" w:lineRule="atLeast"/>
              <w:textAlignment w:val="center"/>
              <w:rPr>
                <w:rFonts w:ascii="宋体" w:hAnsi="宋体" w:eastAsia="宋体" w:cs="Times New Roman"/>
                <w:b/>
                <w:bCs/>
                <w:kern w:val="0"/>
                <w:szCs w:val="21"/>
              </w:rPr>
            </w:pPr>
            <w:r>
              <w:rPr>
                <w:rFonts w:hint="eastAsia" w:ascii="宋体" w:hAnsi="宋体" w:eastAsia="宋体" w:cs="宋体"/>
                <w:color w:val="000000"/>
                <w:kern w:val="0"/>
                <w:szCs w:val="21"/>
                <w:lang w:bidi="ar"/>
              </w:rPr>
              <w:t>经济学院314</w:t>
            </w:r>
          </w:p>
        </w:tc>
        <w:tc>
          <w:tcPr>
            <w:tcW w:w="893" w:type="pct"/>
            <w:vAlign w:val="center"/>
          </w:tcPr>
          <w:p>
            <w:pPr>
              <w:widowControl/>
              <w:spacing w:line="500" w:lineRule="atLeast"/>
              <w:textAlignment w:val="center"/>
              <w:rPr>
                <w:rFonts w:ascii="宋体" w:hAnsi="宋体" w:eastAsia="宋体" w:cs="Times New Roman"/>
                <w:b/>
                <w:bCs/>
                <w:kern w:val="0"/>
                <w:szCs w:val="21"/>
              </w:rPr>
            </w:pPr>
            <w:r>
              <w:rPr>
                <w:rFonts w:hint="eastAsia" w:ascii="宋体" w:hAnsi="宋体" w:eastAsia="宋体" w:cs="宋体"/>
                <w:color w:val="000000"/>
                <w:kern w:val="0"/>
                <w:szCs w:val="21"/>
                <w:lang w:bidi="ar"/>
              </w:rPr>
              <w:t>钱文荣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2" w:type="pct"/>
            <w:vAlign w:val="center"/>
          </w:tcPr>
          <w:p>
            <w:pPr>
              <w:widowControl/>
              <w:spacing w:line="500" w:lineRule="atLeast"/>
              <w:textAlignment w:val="center"/>
              <w:rPr>
                <w:rFonts w:ascii="宋体" w:hAnsi="宋体" w:eastAsia="宋体" w:cs="Times New Roman"/>
                <w:b/>
                <w:bCs/>
                <w:kern w:val="0"/>
                <w:szCs w:val="21"/>
              </w:rPr>
            </w:pPr>
            <w:r>
              <w:rPr>
                <w:rFonts w:hint="eastAsia" w:ascii="宋体" w:hAnsi="宋体" w:eastAsia="宋体" w:cs="宋体"/>
                <w:color w:val="000000"/>
                <w:kern w:val="0"/>
                <w:szCs w:val="21"/>
                <w:lang w:bidi="ar"/>
              </w:rPr>
              <w:t>疫情背景下的粮食安全：中国与世界</w:t>
            </w:r>
          </w:p>
        </w:tc>
        <w:tc>
          <w:tcPr>
            <w:tcW w:w="1402" w:type="pct"/>
            <w:vAlign w:val="center"/>
          </w:tcPr>
          <w:p>
            <w:pPr>
              <w:widowControl/>
              <w:spacing w:line="500" w:lineRule="atLeast"/>
              <w:textAlignment w:val="center"/>
              <w:rPr>
                <w:rFonts w:ascii="宋体" w:hAnsi="宋体" w:eastAsia="宋体" w:cs="Times New Roman"/>
                <w:b/>
                <w:bCs/>
                <w:kern w:val="0"/>
                <w:szCs w:val="21"/>
              </w:rPr>
            </w:pPr>
            <w:r>
              <w:rPr>
                <w:rFonts w:hint="eastAsia" w:ascii="宋体" w:hAnsi="宋体" w:eastAsia="宋体" w:cs="宋体"/>
                <w:color w:val="000000"/>
                <w:kern w:val="0"/>
                <w:szCs w:val="21"/>
                <w:lang w:bidi="ar"/>
              </w:rPr>
              <w:t>2020年12月3日（周四）上午9:00</w:t>
            </w:r>
          </w:p>
        </w:tc>
        <w:tc>
          <w:tcPr>
            <w:tcW w:w="611" w:type="pct"/>
            <w:vAlign w:val="center"/>
          </w:tcPr>
          <w:p>
            <w:pPr>
              <w:widowControl/>
              <w:spacing w:line="500" w:lineRule="atLeast"/>
              <w:textAlignment w:val="center"/>
              <w:rPr>
                <w:rFonts w:ascii="宋体" w:hAnsi="宋体" w:eastAsia="宋体" w:cs="Times New Roman"/>
                <w:b/>
                <w:bCs/>
                <w:kern w:val="0"/>
                <w:szCs w:val="21"/>
              </w:rPr>
            </w:pPr>
            <w:r>
              <w:rPr>
                <w:rFonts w:hint="eastAsia" w:ascii="宋体" w:hAnsi="宋体" w:eastAsia="宋体" w:cs="宋体"/>
                <w:color w:val="000000"/>
                <w:kern w:val="0"/>
                <w:szCs w:val="21"/>
                <w:lang w:bidi="ar"/>
              </w:rPr>
              <w:t>经济学院314会议室</w:t>
            </w:r>
          </w:p>
        </w:tc>
        <w:tc>
          <w:tcPr>
            <w:tcW w:w="893" w:type="pct"/>
            <w:vAlign w:val="center"/>
          </w:tcPr>
          <w:p>
            <w:pPr>
              <w:widowControl/>
              <w:spacing w:line="500" w:lineRule="atLeast"/>
              <w:textAlignment w:val="center"/>
              <w:rPr>
                <w:rFonts w:ascii="宋体" w:hAnsi="宋体" w:eastAsia="宋体" w:cs="Times New Roman"/>
                <w:b/>
                <w:bCs/>
                <w:kern w:val="0"/>
                <w:szCs w:val="21"/>
              </w:rPr>
            </w:pPr>
            <w:r>
              <w:rPr>
                <w:rFonts w:hint="eastAsia" w:ascii="宋体" w:hAnsi="宋体" w:eastAsia="宋体" w:cs="宋体"/>
                <w:color w:val="000000"/>
                <w:kern w:val="0"/>
                <w:szCs w:val="21"/>
                <w:lang w:bidi="ar"/>
              </w:rPr>
              <w:t>胡冰川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2" w:type="pct"/>
            <w:vAlign w:val="center"/>
          </w:tcPr>
          <w:p>
            <w:pPr>
              <w:widowControl/>
              <w:spacing w:line="500" w:lineRule="atLeast"/>
              <w:textAlignment w:val="center"/>
              <w:rPr>
                <w:rFonts w:ascii="宋体" w:hAnsi="宋体" w:eastAsia="宋体" w:cs="Times New Roman"/>
                <w:b/>
                <w:bCs/>
                <w:kern w:val="0"/>
                <w:szCs w:val="21"/>
              </w:rPr>
            </w:pPr>
            <w:r>
              <w:rPr>
                <w:rFonts w:hint="eastAsia" w:ascii="宋体" w:hAnsi="宋体" w:eastAsia="宋体" w:cs="宋体"/>
                <w:color w:val="000000"/>
                <w:kern w:val="0"/>
                <w:szCs w:val="21"/>
                <w:lang w:bidi="ar"/>
              </w:rPr>
              <w:t>ESG表现与企业非对称融资约束——理论模型与微观验证</w:t>
            </w:r>
          </w:p>
        </w:tc>
        <w:tc>
          <w:tcPr>
            <w:tcW w:w="1402" w:type="pct"/>
            <w:vAlign w:val="center"/>
          </w:tcPr>
          <w:p>
            <w:pPr>
              <w:widowControl/>
              <w:spacing w:line="500" w:lineRule="atLeast"/>
              <w:textAlignment w:val="center"/>
              <w:rPr>
                <w:rFonts w:ascii="宋体" w:hAnsi="宋体" w:eastAsia="宋体" w:cs="Times New Roman"/>
                <w:b/>
                <w:bCs/>
                <w:kern w:val="0"/>
                <w:szCs w:val="21"/>
              </w:rPr>
            </w:pPr>
            <w:r>
              <w:rPr>
                <w:rFonts w:hint="eastAsia" w:ascii="宋体" w:hAnsi="宋体" w:eastAsia="宋体" w:cs="宋体"/>
                <w:color w:val="000000"/>
                <w:kern w:val="0"/>
                <w:szCs w:val="21"/>
                <w:lang w:bidi="ar"/>
              </w:rPr>
              <w:t>2020年12月26日</w:t>
            </w:r>
          </w:p>
        </w:tc>
        <w:tc>
          <w:tcPr>
            <w:tcW w:w="611" w:type="pct"/>
            <w:vAlign w:val="center"/>
          </w:tcPr>
          <w:p>
            <w:pPr>
              <w:widowControl/>
              <w:spacing w:line="500" w:lineRule="atLeast"/>
              <w:textAlignment w:val="center"/>
              <w:rPr>
                <w:rFonts w:ascii="宋体" w:hAnsi="宋体" w:eastAsia="宋体" w:cs="Times New Roman"/>
                <w:b/>
                <w:bCs/>
                <w:kern w:val="0"/>
                <w:szCs w:val="21"/>
              </w:rPr>
            </w:pPr>
            <w:r>
              <w:rPr>
                <w:rFonts w:hint="eastAsia" w:ascii="宋体" w:hAnsi="宋体" w:eastAsia="宋体" w:cs="宋体"/>
                <w:color w:val="000000"/>
                <w:kern w:val="0"/>
                <w:szCs w:val="21"/>
                <w:lang w:bidi="ar"/>
              </w:rPr>
              <w:t>腾讯会议</w:t>
            </w:r>
          </w:p>
        </w:tc>
        <w:tc>
          <w:tcPr>
            <w:tcW w:w="893" w:type="pct"/>
            <w:vAlign w:val="center"/>
          </w:tcPr>
          <w:p>
            <w:pPr>
              <w:widowControl/>
              <w:spacing w:line="500" w:lineRule="atLeast"/>
              <w:textAlignment w:val="center"/>
              <w:rPr>
                <w:rFonts w:ascii="宋体" w:hAnsi="宋体" w:eastAsia="宋体" w:cs="Times New Roman"/>
                <w:b/>
                <w:bCs/>
                <w:kern w:val="0"/>
                <w:szCs w:val="21"/>
              </w:rPr>
            </w:pPr>
            <w:r>
              <w:rPr>
                <w:rFonts w:hint="eastAsia" w:ascii="宋体" w:hAnsi="宋体" w:eastAsia="宋体" w:cs="宋体"/>
                <w:color w:val="000000"/>
                <w:kern w:val="0"/>
                <w:szCs w:val="21"/>
                <w:lang w:bidi="ar"/>
              </w:rPr>
              <w:t>刘自敏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2092" w:type="pct"/>
            <w:vAlign w:val="center"/>
          </w:tcPr>
          <w:p>
            <w:pPr>
              <w:widowControl/>
              <w:spacing w:line="500" w:lineRule="atLeast"/>
              <w:textAlignment w:val="center"/>
              <w:rPr>
                <w:rFonts w:ascii="宋体" w:hAnsi="宋体" w:eastAsia="宋体" w:cs="Times New Roman"/>
                <w:b/>
                <w:bCs/>
                <w:kern w:val="0"/>
                <w:szCs w:val="21"/>
              </w:rPr>
            </w:pPr>
            <w:r>
              <w:rPr>
                <w:rFonts w:hint="eastAsia" w:ascii="宋体" w:hAnsi="宋体" w:eastAsia="宋体" w:cs="宋体"/>
                <w:color w:val="000000"/>
                <w:kern w:val="0"/>
                <w:szCs w:val="21"/>
                <w:lang w:bidi="ar"/>
              </w:rPr>
              <w:t>低碳政策与绿色消费：来自新能源汽车销量的证据</w:t>
            </w:r>
          </w:p>
        </w:tc>
        <w:tc>
          <w:tcPr>
            <w:tcW w:w="1402" w:type="pct"/>
            <w:vAlign w:val="center"/>
          </w:tcPr>
          <w:p>
            <w:pPr>
              <w:widowControl/>
              <w:spacing w:line="500" w:lineRule="atLeast"/>
              <w:textAlignment w:val="center"/>
              <w:rPr>
                <w:rFonts w:ascii="宋体" w:hAnsi="宋体" w:eastAsia="宋体" w:cs="Times New Roman"/>
                <w:b/>
                <w:bCs/>
                <w:kern w:val="0"/>
                <w:szCs w:val="21"/>
              </w:rPr>
            </w:pPr>
            <w:r>
              <w:rPr>
                <w:rFonts w:hint="eastAsia" w:ascii="宋体" w:hAnsi="宋体" w:eastAsia="宋体" w:cs="宋体"/>
                <w:color w:val="000000"/>
                <w:kern w:val="0"/>
                <w:szCs w:val="21"/>
                <w:lang w:bidi="ar"/>
              </w:rPr>
              <w:t>2020年11月26日</w:t>
            </w:r>
          </w:p>
        </w:tc>
        <w:tc>
          <w:tcPr>
            <w:tcW w:w="611" w:type="pct"/>
            <w:vAlign w:val="center"/>
          </w:tcPr>
          <w:p>
            <w:pPr>
              <w:widowControl/>
              <w:spacing w:line="500" w:lineRule="atLeast"/>
              <w:textAlignment w:val="center"/>
              <w:rPr>
                <w:rFonts w:ascii="宋体" w:hAnsi="宋体" w:eastAsia="宋体" w:cs="Times New Roman"/>
                <w:b/>
                <w:bCs/>
                <w:kern w:val="0"/>
                <w:szCs w:val="21"/>
              </w:rPr>
            </w:pPr>
            <w:r>
              <w:rPr>
                <w:rFonts w:hint="eastAsia" w:ascii="宋体" w:hAnsi="宋体" w:eastAsia="宋体" w:cs="宋体"/>
                <w:color w:val="000000"/>
                <w:kern w:val="0"/>
                <w:szCs w:val="21"/>
                <w:lang w:bidi="ar"/>
              </w:rPr>
              <w:t>腾讯会议</w:t>
            </w:r>
          </w:p>
        </w:tc>
        <w:tc>
          <w:tcPr>
            <w:tcW w:w="893" w:type="pct"/>
            <w:vAlign w:val="center"/>
          </w:tcPr>
          <w:p>
            <w:pPr>
              <w:widowControl/>
              <w:spacing w:line="500" w:lineRule="atLeast"/>
              <w:textAlignment w:val="center"/>
              <w:rPr>
                <w:rFonts w:ascii="宋体" w:hAnsi="宋体" w:eastAsia="宋体" w:cs="Times New Roman"/>
                <w:b/>
                <w:bCs/>
                <w:kern w:val="0"/>
                <w:szCs w:val="21"/>
              </w:rPr>
            </w:pPr>
            <w:r>
              <w:rPr>
                <w:rFonts w:hint="eastAsia" w:ascii="宋体" w:hAnsi="宋体" w:eastAsia="宋体" w:cs="宋体"/>
                <w:color w:val="000000"/>
                <w:kern w:val="0"/>
                <w:szCs w:val="21"/>
                <w:lang w:bidi="ar"/>
              </w:rPr>
              <w:t>王海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2" w:type="pct"/>
            <w:vAlign w:val="center"/>
          </w:tcPr>
          <w:p>
            <w:pPr>
              <w:widowControl/>
              <w:spacing w:line="500" w:lineRule="atLeast"/>
              <w:textAlignment w:val="center"/>
              <w:rPr>
                <w:rFonts w:ascii="宋体" w:hAnsi="宋体" w:eastAsia="宋体" w:cs="Times New Roman"/>
                <w:b/>
                <w:bCs/>
                <w:kern w:val="0"/>
                <w:szCs w:val="21"/>
              </w:rPr>
            </w:pPr>
            <w:r>
              <w:rPr>
                <w:rFonts w:hint="eastAsia" w:ascii="宋体" w:hAnsi="宋体" w:eastAsia="宋体" w:cs="宋体"/>
                <w:color w:val="000000"/>
                <w:kern w:val="0"/>
                <w:szCs w:val="21"/>
                <w:lang w:bidi="ar"/>
              </w:rPr>
              <w:t>全面实施预算绩效管理实践与前瞻</w:t>
            </w:r>
          </w:p>
        </w:tc>
        <w:tc>
          <w:tcPr>
            <w:tcW w:w="1402" w:type="pct"/>
            <w:vAlign w:val="center"/>
          </w:tcPr>
          <w:p>
            <w:pPr>
              <w:widowControl/>
              <w:spacing w:line="500" w:lineRule="atLeast"/>
              <w:textAlignment w:val="center"/>
              <w:rPr>
                <w:rFonts w:ascii="宋体" w:hAnsi="宋体" w:eastAsia="宋体" w:cs="Times New Roman"/>
                <w:b/>
                <w:bCs/>
                <w:kern w:val="0"/>
                <w:szCs w:val="21"/>
              </w:rPr>
            </w:pPr>
            <w:r>
              <w:rPr>
                <w:rFonts w:hint="eastAsia" w:ascii="宋体" w:hAnsi="宋体" w:eastAsia="宋体" w:cs="宋体"/>
                <w:color w:val="000000"/>
                <w:kern w:val="0"/>
                <w:szCs w:val="21"/>
                <w:lang w:bidi="ar"/>
              </w:rPr>
              <w:t>2020年11月2日</w:t>
            </w:r>
          </w:p>
        </w:tc>
        <w:tc>
          <w:tcPr>
            <w:tcW w:w="611" w:type="pct"/>
            <w:vAlign w:val="center"/>
          </w:tcPr>
          <w:p>
            <w:pPr>
              <w:widowControl/>
              <w:spacing w:line="500" w:lineRule="atLeast"/>
              <w:textAlignment w:val="center"/>
              <w:rPr>
                <w:rFonts w:ascii="宋体" w:hAnsi="宋体" w:eastAsia="宋体" w:cs="Times New Roman"/>
                <w:b/>
                <w:bCs/>
                <w:kern w:val="0"/>
                <w:szCs w:val="21"/>
              </w:rPr>
            </w:pPr>
            <w:r>
              <w:rPr>
                <w:rFonts w:hint="eastAsia" w:ascii="宋体" w:hAnsi="宋体" w:eastAsia="宋体" w:cs="宋体"/>
                <w:color w:val="000000"/>
                <w:kern w:val="0"/>
                <w:szCs w:val="21"/>
                <w:lang w:bidi="ar"/>
              </w:rPr>
              <w:t>经管楼</w:t>
            </w:r>
          </w:p>
        </w:tc>
        <w:tc>
          <w:tcPr>
            <w:tcW w:w="893" w:type="pct"/>
            <w:vAlign w:val="center"/>
          </w:tcPr>
          <w:p>
            <w:pPr>
              <w:widowControl/>
              <w:spacing w:line="500" w:lineRule="atLeast"/>
              <w:textAlignment w:val="center"/>
              <w:rPr>
                <w:rFonts w:ascii="宋体" w:hAnsi="宋体" w:eastAsia="宋体" w:cs="Times New Roman"/>
                <w:b/>
                <w:bCs/>
                <w:kern w:val="0"/>
                <w:szCs w:val="21"/>
              </w:rPr>
            </w:pPr>
            <w:r>
              <w:rPr>
                <w:rFonts w:hint="eastAsia" w:ascii="宋体" w:hAnsi="宋体" w:eastAsia="宋体" w:cs="宋体"/>
                <w:color w:val="000000"/>
                <w:kern w:val="0"/>
                <w:szCs w:val="21"/>
                <w:lang w:bidi="ar"/>
              </w:rPr>
              <w:t>林仁金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2" w:type="pct"/>
            <w:vAlign w:val="center"/>
          </w:tcPr>
          <w:p>
            <w:pPr>
              <w:widowControl/>
              <w:spacing w:line="500" w:lineRule="atLeas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中国天然林全面禁伐对木材贸易的影响研究</w:t>
            </w:r>
          </w:p>
        </w:tc>
        <w:tc>
          <w:tcPr>
            <w:tcW w:w="1402" w:type="pct"/>
            <w:vAlign w:val="center"/>
          </w:tcPr>
          <w:p>
            <w:pPr>
              <w:widowControl/>
              <w:spacing w:line="500" w:lineRule="atLeas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2020年9月29日</w:t>
            </w:r>
          </w:p>
        </w:tc>
        <w:tc>
          <w:tcPr>
            <w:tcW w:w="611" w:type="pct"/>
            <w:vAlign w:val="center"/>
          </w:tcPr>
          <w:p>
            <w:pPr>
              <w:widowControl/>
              <w:spacing w:line="500" w:lineRule="atLeas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腾讯会议</w:t>
            </w:r>
          </w:p>
        </w:tc>
        <w:tc>
          <w:tcPr>
            <w:tcW w:w="893" w:type="pct"/>
            <w:vAlign w:val="center"/>
          </w:tcPr>
          <w:p>
            <w:pPr>
              <w:widowControl/>
              <w:spacing w:line="500" w:lineRule="atLeas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陈帅</w:t>
            </w:r>
          </w:p>
        </w:tc>
      </w:tr>
    </w:tbl>
    <w:p>
      <w:pPr>
        <w:spacing w:line="500" w:lineRule="atLeast"/>
      </w:pPr>
    </w:p>
    <w:p>
      <w:pPr>
        <w:spacing w:line="500" w:lineRule="atLeast"/>
        <w:rPr>
          <w:rFonts w:ascii="宋体" w:hAnsi="宋体" w:eastAsia="宋体"/>
          <w:b/>
          <w:bCs/>
          <w:sz w:val="24"/>
        </w:rPr>
      </w:pPr>
      <w:r>
        <w:rPr>
          <w:rFonts w:hint="eastAsia" w:ascii="宋体" w:hAnsi="宋体" w:eastAsia="宋体"/>
          <w:b/>
          <w:bCs/>
          <w:sz w:val="24"/>
        </w:rPr>
        <w:t>（5）教学成果奖情况</w:t>
      </w:r>
    </w:p>
    <w:p>
      <w:pPr>
        <w:spacing w:line="500" w:lineRule="atLeast"/>
        <w:jc w:val="center"/>
        <w:rPr>
          <w:rFonts w:ascii="宋体" w:hAnsi="宋体" w:eastAsia="宋体"/>
          <w:b/>
          <w:bCs/>
          <w:sz w:val="24"/>
        </w:rPr>
      </w:pPr>
      <w:bookmarkStart w:id="4" w:name="OLE_LINK32"/>
      <w:bookmarkStart w:id="5" w:name="OLE_LINK31"/>
      <w:r>
        <w:rPr>
          <w:rFonts w:hint="eastAsia" w:ascii="宋体" w:hAnsi="宋体" w:eastAsia="宋体"/>
          <w:b/>
          <w:bCs/>
          <w:sz w:val="24"/>
        </w:rPr>
        <w:t>表</w:t>
      </w:r>
      <w:r>
        <w:rPr>
          <w:rFonts w:ascii="宋体" w:hAnsi="宋体" w:eastAsia="宋体"/>
          <w:b/>
          <w:bCs/>
          <w:sz w:val="24"/>
        </w:rPr>
        <w:t>6</w:t>
      </w:r>
      <w:r>
        <w:rPr>
          <w:rFonts w:hint="eastAsia" w:ascii="宋体" w:hAnsi="宋体" w:eastAsia="宋体"/>
          <w:b/>
          <w:bCs/>
          <w:sz w:val="24"/>
        </w:rPr>
        <w:t xml:space="preserve"> 本学位点2</w:t>
      </w:r>
      <w:r>
        <w:rPr>
          <w:rFonts w:ascii="宋体" w:hAnsi="宋体" w:eastAsia="宋体"/>
          <w:b/>
          <w:bCs/>
          <w:sz w:val="24"/>
        </w:rPr>
        <w:t>020</w:t>
      </w:r>
      <w:r>
        <w:rPr>
          <w:rFonts w:hint="eastAsia" w:ascii="宋体" w:hAnsi="宋体" w:eastAsia="宋体"/>
          <w:b/>
          <w:bCs/>
          <w:sz w:val="24"/>
        </w:rPr>
        <w:t>年度教师获奖情况</w:t>
      </w:r>
    </w:p>
    <w:bookmarkEnd w:id="4"/>
    <w:bookmarkEnd w:id="5"/>
    <w:tbl>
      <w:tblPr>
        <w:tblStyle w:val="10"/>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6"/>
        <w:gridCol w:w="1604"/>
        <w:gridCol w:w="1776"/>
        <w:gridCol w:w="636"/>
        <w:gridCol w:w="1719"/>
        <w:gridCol w:w="636"/>
        <w:gridCol w:w="952"/>
        <w:gridCol w:w="7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255" w:type="pct"/>
            <w:shd w:val="clear" w:color="auto" w:fill="auto"/>
            <w:vAlign w:val="center"/>
          </w:tcPr>
          <w:p>
            <w:pPr>
              <w:widowControl/>
              <w:spacing w:line="500" w:lineRule="atLeast"/>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序号</w:t>
            </w:r>
          </w:p>
        </w:tc>
        <w:tc>
          <w:tcPr>
            <w:tcW w:w="941" w:type="pct"/>
            <w:shd w:val="clear" w:color="auto" w:fill="auto"/>
            <w:vAlign w:val="center"/>
          </w:tcPr>
          <w:p>
            <w:pPr>
              <w:widowControl/>
              <w:spacing w:line="500" w:lineRule="atLeast"/>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奖项等级</w:t>
            </w:r>
          </w:p>
        </w:tc>
        <w:tc>
          <w:tcPr>
            <w:tcW w:w="1042" w:type="pct"/>
            <w:shd w:val="clear" w:color="auto" w:fill="auto"/>
            <w:vAlign w:val="center"/>
          </w:tcPr>
          <w:p>
            <w:pPr>
              <w:widowControl/>
              <w:spacing w:line="500" w:lineRule="atLeast"/>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奖项/成果名称</w:t>
            </w:r>
          </w:p>
        </w:tc>
        <w:tc>
          <w:tcPr>
            <w:tcW w:w="373" w:type="pct"/>
            <w:shd w:val="clear" w:color="auto" w:fill="auto"/>
            <w:vAlign w:val="center"/>
          </w:tcPr>
          <w:p>
            <w:pPr>
              <w:widowControl/>
              <w:spacing w:line="500" w:lineRule="atLeast"/>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奖项等级</w:t>
            </w:r>
          </w:p>
        </w:tc>
        <w:tc>
          <w:tcPr>
            <w:tcW w:w="1008" w:type="pct"/>
            <w:shd w:val="clear" w:color="auto" w:fill="auto"/>
            <w:vAlign w:val="center"/>
          </w:tcPr>
          <w:p>
            <w:pPr>
              <w:widowControl/>
              <w:spacing w:line="500" w:lineRule="atLeast"/>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组织单位</w:t>
            </w:r>
          </w:p>
        </w:tc>
        <w:tc>
          <w:tcPr>
            <w:tcW w:w="373" w:type="pct"/>
            <w:shd w:val="clear" w:color="auto" w:fill="auto"/>
            <w:vAlign w:val="center"/>
          </w:tcPr>
          <w:p>
            <w:pPr>
              <w:widowControl/>
              <w:spacing w:line="500" w:lineRule="atLeast"/>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组织单位类型</w:t>
            </w:r>
          </w:p>
        </w:tc>
        <w:tc>
          <w:tcPr>
            <w:tcW w:w="558" w:type="pct"/>
            <w:shd w:val="clear" w:color="auto" w:fill="auto"/>
            <w:vAlign w:val="center"/>
          </w:tcPr>
          <w:p>
            <w:pPr>
              <w:widowControl/>
              <w:spacing w:line="500" w:lineRule="atLeast"/>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获奖时间</w:t>
            </w:r>
          </w:p>
        </w:tc>
        <w:tc>
          <w:tcPr>
            <w:tcW w:w="447" w:type="pct"/>
            <w:shd w:val="clear" w:color="auto" w:fill="auto"/>
            <w:vAlign w:val="center"/>
          </w:tcPr>
          <w:p>
            <w:pPr>
              <w:widowControl/>
              <w:spacing w:line="500" w:lineRule="atLeast"/>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成果完成人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55" w:type="pct"/>
            <w:shd w:val="clear" w:color="auto" w:fill="auto"/>
            <w:vAlign w:val="center"/>
          </w:tcPr>
          <w:p>
            <w:pPr>
              <w:widowControl/>
              <w:spacing w:line="500" w:lineRule="atLeast"/>
              <w:jc w:val="right"/>
              <w:textAlignment w:val="center"/>
              <w:rPr>
                <w:rFonts w:ascii="宋体" w:hAnsi="宋体" w:eastAsia="宋体" w:cs="宋体"/>
                <w:color w:val="000000"/>
                <w:szCs w:val="21"/>
              </w:rPr>
            </w:pPr>
            <w:r>
              <w:rPr>
                <w:rFonts w:hint="eastAsia" w:ascii="宋体" w:hAnsi="宋体" w:eastAsia="宋体" w:cs="宋体"/>
                <w:color w:val="000000"/>
                <w:kern w:val="0"/>
                <w:sz w:val="22"/>
                <w:szCs w:val="22"/>
                <w:lang w:bidi="ar"/>
              </w:rPr>
              <w:t>1</w:t>
            </w:r>
          </w:p>
        </w:tc>
        <w:tc>
          <w:tcPr>
            <w:tcW w:w="941" w:type="pct"/>
            <w:shd w:val="clear" w:color="auto" w:fill="auto"/>
            <w:vAlign w:val="center"/>
          </w:tcPr>
          <w:p>
            <w:pPr>
              <w:widowControl/>
              <w:spacing w:line="500" w:lineRule="atLeast"/>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国家级研究生教育教学成果奖</w:t>
            </w:r>
          </w:p>
        </w:tc>
        <w:tc>
          <w:tcPr>
            <w:tcW w:w="1042" w:type="pct"/>
            <w:shd w:val="clear" w:color="auto" w:fill="auto"/>
            <w:vAlign w:val="center"/>
          </w:tcPr>
          <w:p>
            <w:pPr>
              <w:widowControl/>
              <w:spacing w:line="500" w:lineRule="atLeast"/>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从翱翔雄鹰到一地鸡毛的阿根廷之殇——发展中国家资本账户开放与金融安全的权衡分析</w:t>
            </w:r>
          </w:p>
        </w:tc>
        <w:tc>
          <w:tcPr>
            <w:tcW w:w="373" w:type="pct"/>
            <w:shd w:val="clear" w:color="auto" w:fill="auto"/>
            <w:vAlign w:val="center"/>
          </w:tcPr>
          <w:p>
            <w:pPr>
              <w:widowControl/>
              <w:spacing w:line="500" w:lineRule="atLeast"/>
              <w:jc w:val="center"/>
              <w:textAlignment w:val="center"/>
              <w:rPr>
                <w:rFonts w:hint="eastAsia" w:ascii="宋体" w:hAnsi="宋体" w:eastAsia="宋体" w:cs="宋体"/>
                <w:color w:val="000000"/>
                <w:szCs w:val="21"/>
                <w:lang w:eastAsia="zh-CN"/>
              </w:rPr>
            </w:pPr>
            <w:r>
              <w:rPr>
                <w:rFonts w:hint="eastAsia" w:ascii="宋体" w:hAnsi="宋体" w:eastAsia="宋体" w:cs="宋体"/>
                <w:color w:val="000000"/>
                <w:szCs w:val="21"/>
              </w:rPr>
              <w:t>优秀案例</w:t>
            </w:r>
            <w:r>
              <w:rPr>
                <w:rFonts w:hint="eastAsia" w:ascii="宋体" w:hAnsi="宋体" w:eastAsia="宋体" w:cs="宋体"/>
                <w:color w:val="000000"/>
                <w:szCs w:val="21"/>
                <w:lang w:eastAsia="zh-CN"/>
              </w:rPr>
              <w:t>奖</w:t>
            </w:r>
          </w:p>
        </w:tc>
        <w:tc>
          <w:tcPr>
            <w:tcW w:w="1008" w:type="pct"/>
            <w:shd w:val="clear" w:color="auto" w:fill="auto"/>
            <w:vAlign w:val="center"/>
          </w:tcPr>
          <w:p>
            <w:pPr>
              <w:spacing w:line="500" w:lineRule="atLeast"/>
              <w:jc w:val="center"/>
              <w:rPr>
                <w:rFonts w:ascii="宋体" w:hAnsi="宋体" w:eastAsia="宋体" w:cs="宋体"/>
                <w:color w:val="000000"/>
                <w:szCs w:val="21"/>
              </w:rPr>
            </w:pPr>
            <w:r>
              <w:rPr>
                <w:rFonts w:hint="eastAsia" w:ascii="宋体" w:hAnsi="宋体" w:eastAsia="宋体" w:cs="宋体"/>
                <w:color w:val="000000"/>
                <w:szCs w:val="21"/>
              </w:rPr>
              <w:t>全国金融专业学位研究生教育指导委员会</w:t>
            </w:r>
          </w:p>
        </w:tc>
        <w:tc>
          <w:tcPr>
            <w:tcW w:w="373" w:type="pct"/>
            <w:shd w:val="clear" w:color="auto" w:fill="auto"/>
            <w:vAlign w:val="center"/>
          </w:tcPr>
          <w:p>
            <w:pPr>
              <w:spacing w:line="500" w:lineRule="atLeast"/>
              <w:jc w:val="center"/>
              <w:rPr>
                <w:rFonts w:ascii="宋体" w:hAnsi="宋体" w:eastAsia="宋体" w:cs="宋体"/>
                <w:color w:val="000000"/>
                <w:szCs w:val="21"/>
              </w:rPr>
            </w:pPr>
            <w:r>
              <w:rPr>
                <w:rFonts w:hint="eastAsia" w:ascii="宋体" w:hAnsi="宋体" w:eastAsia="宋体" w:cs="宋体"/>
                <w:color w:val="000000"/>
                <w:szCs w:val="21"/>
              </w:rPr>
              <w:t>其他</w:t>
            </w:r>
          </w:p>
        </w:tc>
        <w:tc>
          <w:tcPr>
            <w:tcW w:w="558" w:type="pct"/>
            <w:shd w:val="clear" w:color="auto" w:fill="auto"/>
            <w:vAlign w:val="center"/>
          </w:tcPr>
          <w:p>
            <w:pPr>
              <w:widowControl/>
              <w:spacing w:line="500" w:lineRule="atLeast"/>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2020.10</w:t>
            </w:r>
          </w:p>
        </w:tc>
        <w:tc>
          <w:tcPr>
            <w:tcW w:w="447" w:type="pct"/>
            <w:shd w:val="clear" w:color="auto" w:fill="auto"/>
            <w:vAlign w:val="center"/>
          </w:tcPr>
          <w:p>
            <w:pPr>
              <w:widowControl/>
              <w:spacing w:line="500" w:lineRule="atLeast"/>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游碧蓉（第一)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0" w:hRule="atLeast"/>
        </w:trPr>
        <w:tc>
          <w:tcPr>
            <w:tcW w:w="255" w:type="pct"/>
            <w:shd w:val="clear" w:color="auto" w:fill="auto"/>
            <w:vAlign w:val="center"/>
          </w:tcPr>
          <w:p>
            <w:pPr>
              <w:widowControl/>
              <w:spacing w:line="500" w:lineRule="atLeast"/>
              <w:jc w:val="right"/>
              <w:textAlignment w:val="center"/>
              <w:rPr>
                <w:rFonts w:ascii="宋体" w:hAnsi="宋体" w:eastAsia="宋体" w:cs="宋体"/>
                <w:color w:val="000000"/>
                <w:szCs w:val="21"/>
              </w:rPr>
            </w:pPr>
            <w:r>
              <w:rPr>
                <w:rFonts w:hint="eastAsia" w:ascii="宋体" w:hAnsi="宋体" w:eastAsia="宋体" w:cs="宋体"/>
                <w:color w:val="000000"/>
                <w:kern w:val="0"/>
                <w:sz w:val="22"/>
                <w:szCs w:val="22"/>
                <w:lang w:bidi="ar"/>
              </w:rPr>
              <w:t>2</w:t>
            </w:r>
          </w:p>
        </w:tc>
        <w:tc>
          <w:tcPr>
            <w:tcW w:w="941" w:type="pct"/>
            <w:shd w:val="clear" w:color="auto" w:fill="auto"/>
            <w:vAlign w:val="center"/>
          </w:tcPr>
          <w:p>
            <w:pPr>
              <w:widowControl/>
              <w:spacing w:line="500" w:lineRule="atLeast"/>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国家级研究生教育教学成果奖</w:t>
            </w:r>
          </w:p>
        </w:tc>
        <w:tc>
          <w:tcPr>
            <w:tcW w:w="1042" w:type="pct"/>
            <w:shd w:val="clear" w:color="auto" w:fill="auto"/>
            <w:vAlign w:val="center"/>
          </w:tcPr>
          <w:p>
            <w:pPr>
              <w:widowControl/>
              <w:spacing w:line="500" w:lineRule="atLeast"/>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从翱翔雄鹰到一地鸡毛的阿根廷之殇——发展中国家资本账户开放与金融安全的权衡分析</w:t>
            </w:r>
          </w:p>
        </w:tc>
        <w:tc>
          <w:tcPr>
            <w:tcW w:w="373" w:type="pct"/>
            <w:shd w:val="clear" w:color="auto" w:fill="auto"/>
            <w:vAlign w:val="center"/>
          </w:tcPr>
          <w:p>
            <w:pPr>
              <w:widowControl/>
              <w:spacing w:line="500" w:lineRule="atLeast"/>
              <w:jc w:val="center"/>
              <w:textAlignment w:val="center"/>
              <w:rPr>
                <w:rFonts w:hint="eastAsia" w:ascii="宋体" w:hAnsi="宋体" w:eastAsia="宋体" w:cs="宋体"/>
                <w:color w:val="000000"/>
                <w:szCs w:val="21"/>
                <w:lang w:eastAsia="zh-CN"/>
              </w:rPr>
            </w:pPr>
            <w:r>
              <w:rPr>
                <w:rFonts w:hint="eastAsia" w:ascii="宋体" w:hAnsi="宋体" w:eastAsia="宋体" w:cs="宋体"/>
                <w:color w:val="000000"/>
                <w:szCs w:val="21"/>
              </w:rPr>
              <w:t>优秀案例</w:t>
            </w:r>
            <w:r>
              <w:rPr>
                <w:rFonts w:hint="eastAsia" w:ascii="宋体" w:hAnsi="宋体" w:eastAsia="宋体" w:cs="宋体"/>
                <w:color w:val="000000"/>
                <w:szCs w:val="21"/>
                <w:lang w:eastAsia="zh-CN"/>
              </w:rPr>
              <w:t>奖</w:t>
            </w:r>
          </w:p>
        </w:tc>
        <w:tc>
          <w:tcPr>
            <w:tcW w:w="1008" w:type="pct"/>
            <w:shd w:val="clear" w:color="auto" w:fill="auto"/>
            <w:vAlign w:val="center"/>
          </w:tcPr>
          <w:p>
            <w:pPr>
              <w:spacing w:line="500" w:lineRule="atLeast"/>
              <w:jc w:val="center"/>
              <w:rPr>
                <w:rFonts w:ascii="宋体" w:hAnsi="宋体" w:eastAsia="宋体" w:cs="宋体"/>
                <w:color w:val="000000"/>
                <w:szCs w:val="21"/>
              </w:rPr>
            </w:pPr>
            <w:r>
              <w:rPr>
                <w:rFonts w:hint="eastAsia" w:ascii="宋体" w:hAnsi="宋体" w:eastAsia="宋体" w:cs="宋体"/>
                <w:color w:val="000000"/>
                <w:szCs w:val="21"/>
              </w:rPr>
              <w:t>全国金融专业学位研究生教育指导委员会</w:t>
            </w:r>
          </w:p>
        </w:tc>
        <w:tc>
          <w:tcPr>
            <w:tcW w:w="373" w:type="pct"/>
            <w:shd w:val="clear" w:color="auto" w:fill="auto"/>
            <w:vAlign w:val="center"/>
          </w:tcPr>
          <w:p>
            <w:pPr>
              <w:spacing w:line="500" w:lineRule="atLeast"/>
              <w:jc w:val="center"/>
              <w:rPr>
                <w:rFonts w:ascii="宋体" w:hAnsi="宋体" w:eastAsia="宋体" w:cs="宋体"/>
                <w:color w:val="000000"/>
                <w:szCs w:val="21"/>
              </w:rPr>
            </w:pPr>
            <w:r>
              <w:rPr>
                <w:rFonts w:hint="eastAsia" w:ascii="宋体" w:hAnsi="宋体" w:eastAsia="宋体" w:cs="宋体"/>
                <w:color w:val="000000"/>
                <w:szCs w:val="21"/>
              </w:rPr>
              <w:t>其他</w:t>
            </w:r>
          </w:p>
        </w:tc>
        <w:tc>
          <w:tcPr>
            <w:tcW w:w="558" w:type="pct"/>
            <w:shd w:val="clear" w:color="auto" w:fill="auto"/>
            <w:vAlign w:val="center"/>
          </w:tcPr>
          <w:p>
            <w:pPr>
              <w:widowControl/>
              <w:spacing w:line="500" w:lineRule="atLeast"/>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2020.10</w:t>
            </w:r>
          </w:p>
        </w:tc>
        <w:tc>
          <w:tcPr>
            <w:tcW w:w="447" w:type="pct"/>
            <w:shd w:val="clear" w:color="auto" w:fill="auto"/>
            <w:vAlign w:val="center"/>
          </w:tcPr>
          <w:p>
            <w:pPr>
              <w:widowControl/>
              <w:spacing w:line="500" w:lineRule="atLeast"/>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林丽琼（第五）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255" w:type="pct"/>
            <w:shd w:val="clear" w:color="auto" w:fill="auto"/>
            <w:vAlign w:val="center"/>
          </w:tcPr>
          <w:p>
            <w:pPr>
              <w:widowControl/>
              <w:spacing w:line="500" w:lineRule="atLeast"/>
              <w:jc w:val="right"/>
              <w:textAlignment w:val="center"/>
              <w:rPr>
                <w:rFonts w:ascii="宋体" w:hAnsi="宋体" w:eastAsia="宋体" w:cs="宋体"/>
                <w:color w:val="000000"/>
                <w:szCs w:val="21"/>
              </w:rPr>
            </w:pPr>
            <w:r>
              <w:rPr>
                <w:rFonts w:hint="eastAsia" w:ascii="宋体" w:hAnsi="宋体" w:eastAsia="宋体" w:cs="宋体"/>
                <w:color w:val="000000"/>
                <w:kern w:val="0"/>
                <w:sz w:val="22"/>
                <w:szCs w:val="22"/>
                <w:lang w:bidi="ar"/>
              </w:rPr>
              <w:t>3</w:t>
            </w:r>
          </w:p>
        </w:tc>
        <w:tc>
          <w:tcPr>
            <w:tcW w:w="941" w:type="pct"/>
            <w:shd w:val="clear" w:color="auto" w:fill="auto"/>
            <w:vAlign w:val="center"/>
          </w:tcPr>
          <w:p>
            <w:pPr>
              <w:widowControl/>
              <w:spacing w:line="500" w:lineRule="atLeast"/>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国家级研究生教育教学成果奖</w:t>
            </w:r>
          </w:p>
        </w:tc>
        <w:tc>
          <w:tcPr>
            <w:tcW w:w="1042" w:type="pct"/>
            <w:shd w:val="clear" w:color="auto" w:fill="auto"/>
            <w:vAlign w:val="center"/>
          </w:tcPr>
          <w:p>
            <w:pPr>
              <w:widowControl/>
              <w:spacing w:line="500" w:lineRule="atLeast"/>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泰禾难泰和——企业债券违约原因分析</w:t>
            </w:r>
          </w:p>
        </w:tc>
        <w:tc>
          <w:tcPr>
            <w:tcW w:w="373" w:type="pct"/>
            <w:shd w:val="clear" w:color="auto" w:fill="auto"/>
            <w:vAlign w:val="center"/>
          </w:tcPr>
          <w:p>
            <w:pPr>
              <w:widowControl/>
              <w:spacing w:line="500" w:lineRule="atLeast"/>
              <w:jc w:val="center"/>
              <w:textAlignment w:val="center"/>
              <w:rPr>
                <w:rFonts w:hint="eastAsia" w:ascii="宋体" w:hAnsi="宋体" w:eastAsia="宋体" w:cs="宋体"/>
                <w:color w:val="000000"/>
                <w:szCs w:val="21"/>
                <w:lang w:eastAsia="zh-CN"/>
              </w:rPr>
            </w:pPr>
            <w:r>
              <w:rPr>
                <w:rFonts w:hint="eastAsia" w:ascii="宋体" w:hAnsi="宋体" w:eastAsia="宋体" w:cs="宋体"/>
                <w:color w:val="000000"/>
                <w:szCs w:val="21"/>
              </w:rPr>
              <w:t>优秀案例</w:t>
            </w:r>
            <w:r>
              <w:rPr>
                <w:rFonts w:hint="eastAsia" w:ascii="宋体" w:hAnsi="宋体" w:eastAsia="宋体" w:cs="宋体"/>
                <w:color w:val="000000"/>
                <w:szCs w:val="21"/>
                <w:lang w:eastAsia="zh-CN"/>
              </w:rPr>
              <w:t>奖</w:t>
            </w:r>
          </w:p>
        </w:tc>
        <w:tc>
          <w:tcPr>
            <w:tcW w:w="1008" w:type="pct"/>
            <w:shd w:val="clear" w:color="auto" w:fill="auto"/>
            <w:vAlign w:val="center"/>
          </w:tcPr>
          <w:p>
            <w:pPr>
              <w:spacing w:line="500" w:lineRule="atLeast"/>
              <w:jc w:val="center"/>
              <w:rPr>
                <w:rFonts w:ascii="宋体" w:hAnsi="宋体" w:eastAsia="宋体" w:cs="宋体"/>
                <w:color w:val="000000"/>
                <w:szCs w:val="21"/>
              </w:rPr>
            </w:pPr>
            <w:r>
              <w:rPr>
                <w:rFonts w:hint="eastAsia" w:ascii="宋体" w:hAnsi="宋体" w:eastAsia="宋体" w:cs="宋体"/>
                <w:color w:val="000000"/>
                <w:szCs w:val="21"/>
              </w:rPr>
              <w:t>全国金融专业学位研究生教育指导委员会</w:t>
            </w:r>
          </w:p>
        </w:tc>
        <w:tc>
          <w:tcPr>
            <w:tcW w:w="373" w:type="pct"/>
            <w:shd w:val="clear" w:color="auto" w:fill="auto"/>
            <w:vAlign w:val="center"/>
          </w:tcPr>
          <w:p>
            <w:pPr>
              <w:spacing w:line="500" w:lineRule="atLeast"/>
              <w:jc w:val="center"/>
              <w:rPr>
                <w:rFonts w:ascii="宋体" w:hAnsi="宋体" w:eastAsia="宋体" w:cs="宋体"/>
                <w:color w:val="000000"/>
                <w:szCs w:val="21"/>
              </w:rPr>
            </w:pPr>
            <w:r>
              <w:rPr>
                <w:rFonts w:hint="eastAsia" w:ascii="宋体" w:hAnsi="宋体" w:eastAsia="宋体" w:cs="宋体"/>
                <w:color w:val="000000"/>
                <w:szCs w:val="21"/>
              </w:rPr>
              <w:t>其他</w:t>
            </w:r>
          </w:p>
        </w:tc>
        <w:tc>
          <w:tcPr>
            <w:tcW w:w="558" w:type="pct"/>
            <w:shd w:val="clear" w:color="auto" w:fill="auto"/>
            <w:vAlign w:val="center"/>
          </w:tcPr>
          <w:p>
            <w:pPr>
              <w:widowControl/>
              <w:spacing w:line="500" w:lineRule="atLeast"/>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2020.10</w:t>
            </w:r>
          </w:p>
        </w:tc>
        <w:tc>
          <w:tcPr>
            <w:tcW w:w="447" w:type="pct"/>
            <w:shd w:val="clear" w:color="auto" w:fill="auto"/>
            <w:vAlign w:val="center"/>
          </w:tcPr>
          <w:p>
            <w:pPr>
              <w:widowControl/>
              <w:spacing w:line="500" w:lineRule="atLeast"/>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游碧蓉（第一）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255" w:type="pct"/>
            <w:shd w:val="clear" w:color="auto" w:fill="auto"/>
            <w:vAlign w:val="center"/>
          </w:tcPr>
          <w:p>
            <w:pPr>
              <w:widowControl/>
              <w:spacing w:line="500" w:lineRule="atLeast"/>
              <w:jc w:val="right"/>
              <w:textAlignment w:val="center"/>
              <w:rPr>
                <w:rFonts w:ascii="宋体" w:hAnsi="宋体" w:eastAsia="宋体" w:cs="宋体"/>
                <w:color w:val="000000"/>
                <w:szCs w:val="21"/>
              </w:rPr>
            </w:pPr>
            <w:r>
              <w:rPr>
                <w:rFonts w:hint="eastAsia" w:ascii="宋体" w:hAnsi="宋体" w:eastAsia="宋体" w:cs="宋体"/>
                <w:color w:val="000000"/>
                <w:kern w:val="0"/>
                <w:sz w:val="22"/>
                <w:szCs w:val="22"/>
                <w:lang w:bidi="ar"/>
              </w:rPr>
              <w:t>4</w:t>
            </w:r>
          </w:p>
        </w:tc>
        <w:tc>
          <w:tcPr>
            <w:tcW w:w="941" w:type="pct"/>
            <w:shd w:val="clear" w:color="auto" w:fill="auto"/>
            <w:vAlign w:val="center"/>
          </w:tcPr>
          <w:p>
            <w:pPr>
              <w:widowControl/>
              <w:spacing w:line="500" w:lineRule="atLeast"/>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国家级研究生教育教学成果奖</w:t>
            </w:r>
          </w:p>
        </w:tc>
        <w:tc>
          <w:tcPr>
            <w:tcW w:w="1042" w:type="pct"/>
            <w:shd w:val="clear" w:color="auto" w:fill="auto"/>
            <w:vAlign w:val="center"/>
          </w:tcPr>
          <w:p>
            <w:pPr>
              <w:widowControl/>
              <w:spacing w:line="500" w:lineRule="atLeast"/>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从质疑到拥抱：PTA期货定价权争夺战始末</w:t>
            </w:r>
          </w:p>
        </w:tc>
        <w:tc>
          <w:tcPr>
            <w:tcW w:w="373" w:type="pct"/>
            <w:shd w:val="clear" w:color="auto" w:fill="auto"/>
            <w:vAlign w:val="center"/>
          </w:tcPr>
          <w:p>
            <w:pPr>
              <w:widowControl/>
              <w:spacing w:line="500" w:lineRule="atLeast"/>
              <w:jc w:val="center"/>
              <w:textAlignment w:val="center"/>
              <w:rPr>
                <w:rFonts w:hint="eastAsia" w:ascii="宋体" w:hAnsi="宋体" w:eastAsia="宋体" w:cs="宋体"/>
                <w:color w:val="000000"/>
                <w:szCs w:val="21"/>
                <w:lang w:eastAsia="zh-CN"/>
              </w:rPr>
            </w:pPr>
            <w:r>
              <w:rPr>
                <w:rFonts w:hint="eastAsia" w:ascii="宋体" w:hAnsi="宋体" w:eastAsia="宋体" w:cs="宋体"/>
                <w:color w:val="000000"/>
                <w:szCs w:val="21"/>
              </w:rPr>
              <w:t>优秀案例</w:t>
            </w:r>
            <w:r>
              <w:rPr>
                <w:rFonts w:hint="eastAsia" w:ascii="宋体" w:hAnsi="宋体" w:eastAsia="宋体" w:cs="宋体"/>
                <w:color w:val="000000"/>
                <w:szCs w:val="21"/>
                <w:lang w:eastAsia="zh-CN"/>
              </w:rPr>
              <w:t>奖</w:t>
            </w:r>
          </w:p>
        </w:tc>
        <w:tc>
          <w:tcPr>
            <w:tcW w:w="1008" w:type="pct"/>
            <w:shd w:val="clear" w:color="auto" w:fill="auto"/>
            <w:vAlign w:val="center"/>
          </w:tcPr>
          <w:p>
            <w:pPr>
              <w:spacing w:line="500" w:lineRule="atLeast"/>
              <w:jc w:val="center"/>
              <w:rPr>
                <w:rFonts w:ascii="宋体" w:hAnsi="宋体" w:eastAsia="宋体" w:cs="宋体"/>
                <w:color w:val="000000"/>
                <w:szCs w:val="21"/>
              </w:rPr>
            </w:pPr>
            <w:r>
              <w:rPr>
                <w:rFonts w:hint="eastAsia" w:ascii="宋体" w:hAnsi="宋体" w:eastAsia="宋体" w:cs="宋体"/>
                <w:color w:val="000000"/>
                <w:szCs w:val="21"/>
              </w:rPr>
              <w:t>全国金融专业学位研究生教育指导委员会</w:t>
            </w:r>
          </w:p>
        </w:tc>
        <w:tc>
          <w:tcPr>
            <w:tcW w:w="373" w:type="pct"/>
            <w:shd w:val="clear" w:color="auto" w:fill="auto"/>
            <w:vAlign w:val="center"/>
          </w:tcPr>
          <w:p>
            <w:pPr>
              <w:spacing w:line="500" w:lineRule="atLeast"/>
              <w:jc w:val="center"/>
              <w:rPr>
                <w:rFonts w:ascii="宋体" w:hAnsi="宋体" w:eastAsia="宋体" w:cs="宋体"/>
                <w:color w:val="000000"/>
                <w:szCs w:val="21"/>
              </w:rPr>
            </w:pPr>
            <w:r>
              <w:rPr>
                <w:rFonts w:hint="eastAsia" w:ascii="宋体" w:hAnsi="宋体" w:eastAsia="宋体" w:cs="宋体"/>
                <w:color w:val="000000"/>
                <w:szCs w:val="21"/>
              </w:rPr>
              <w:t>其他</w:t>
            </w:r>
          </w:p>
        </w:tc>
        <w:tc>
          <w:tcPr>
            <w:tcW w:w="558" w:type="pct"/>
            <w:shd w:val="clear" w:color="auto" w:fill="auto"/>
            <w:vAlign w:val="center"/>
          </w:tcPr>
          <w:p>
            <w:pPr>
              <w:widowControl/>
              <w:spacing w:line="500" w:lineRule="atLeast"/>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2020.10</w:t>
            </w:r>
          </w:p>
        </w:tc>
        <w:tc>
          <w:tcPr>
            <w:tcW w:w="447" w:type="pct"/>
            <w:shd w:val="clear" w:color="auto" w:fill="auto"/>
            <w:vAlign w:val="center"/>
          </w:tcPr>
          <w:p>
            <w:pPr>
              <w:widowControl/>
              <w:spacing w:line="500" w:lineRule="atLeast"/>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林丽琼（第一）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trPr>
        <w:tc>
          <w:tcPr>
            <w:tcW w:w="255" w:type="pct"/>
            <w:shd w:val="clear" w:color="auto" w:fill="auto"/>
            <w:vAlign w:val="center"/>
          </w:tcPr>
          <w:p>
            <w:pPr>
              <w:widowControl/>
              <w:spacing w:line="500" w:lineRule="atLeast"/>
              <w:jc w:val="right"/>
              <w:textAlignment w:val="center"/>
              <w:rPr>
                <w:rFonts w:ascii="宋体" w:hAnsi="宋体" w:eastAsia="宋体" w:cs="宋体"/>
                <w:color w:val="000000"/>
                <w:szCs w:val="21"/>
              </w:rPr>
            </w:pPr>
            <w:r>
              <w:rPr>
                <w:rFonts w:hint="eastAsia" w:ascii="宋体" w:hAnsi="宋体" w:eastAsia="宋体" w:cs="宋体"/>
                <w:color w:val="000000"/>
                <w:kern w:val="0"/>
                <w:sz w:val="22"/>
                <w:szCs w:val="22"/>
                <w:lang w:bidi="ar"/>
              </w:rPr>
              <w:t>5</w:t>
            </w:r>
          </w:p>
        </w:tc>
        <w:tc>
          <w:tcPr>
            <w:tcW w:w="941" w:type="pct"/>
            <w:shd w:val="clear" w:color="auto" w:fill="auto"/>
            <w:vAlign w:val="center"/>
          </w:tcPr>
          <w:p>
            <w:pPr>
              <w:widowControl/>
              <w:spacing w:line="500" w:lineRule="atLeast"/>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国家级研究生教育教学成果奖</w:t>
            </w:r>
          </w:p>
        </w:tc>
        <w:tc>
          <w:tcPr>
            <w:tcW w:w="1042" w:type="pct"/>
            <w:shd w:val="clear" w:color="auto" w:fill="auto"/>
            <w:vAlign w:val="center"/>
          </w:tcPr>
          <w:p>
            <w:pPr>
              <w:widowControl/>
              <w:spacing w:line="500" w:lineRule="atLeast"/>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案例：</w:t>
            </w:r>
            <w:r>
              <w:rPr>
                <w:rFonts w:hint="eastAsia" w:ascii="宋体" w:hAnsi="宋体" w:eastAsia="宋体" w:cs="宋体"/>
                <w:color w:val="000000"/>
                <w:kern w:val="0"/>
                <w:szCs w:val="21"/>
                <w:lang w:eastAsia="zh-CN" w:bidi="ar"/>
              </w:rPr>
              <w:t>急功近利</w:t>
            </w:r>
            <w:r>
              <w:rPr>
                <w:rFonts w:hint="eastAsia" w:ascii="宋体" w:hAnsi="宋体" w:eastAsia="宋体" w:cs="宋体"/>
                <w:color w:val="000000"/>
                <w:kern w:val="0"/>
                <w:szCs w:val="21"/>
                <w:lang w:bidi="ar"/>
              </w:rPr>
              <w:t xml:space="preserve"> 满盘皆输：包商银行被接管事件始末</w:t>
            </w:r>
          </w:p>
        </w:tc>
        <w:tc>
          <w:tcPr>
            <w:tcW w:w="373" w:type="pct"/>
            <w:shd w:val="clear" w:color="auto" w:fill="auto"/>
            <w:vAlign w:val="center"/>
          </w:tcPr>
          <w:p>
            <w:pPr>
              <w:widowControl/>
              <w:spacing w:line="500" w:lineRule="atLeast"/>
              <w:jc w:val="center"/>
              <w:textAlignment w:val="center"/>
              <w:rPr>
                <w:rFonts w:hint="eastAsia" w:ascii="宋体" w:hAnsi="宋体" w:eastAsia="宋体" w:cs="宋体"/>
                <w:color w:val="000000"/>
                <w:szCs w:val="21"/>
                <w:lang w:eastAsia="zh-CN"/>
              </w:rPr>
            </w:pPr>
            <w:r>
              <w:rPr>
                <w:rFonts w:hint="eastAsia" w:ascii="宋体" w:hAnsi="宋体" w:eastAsia="宋体" w:cs="宋体"/>
                <w:color w:val="000000"/>
                <w:szCs w:val="21"/>
              </w:rPr>
              <w:t>优秀案例</w:t>
            </w:r>
            <w:r>
              <w:rPr>
                <w:rFonts w:hint="eastAsia" w:ascii="宋体" w:hAnsi="宋体" w:eastAsia="宋体" w:cs="宋体"/>
                <w:color w:val="000000"/>
                <w:szCs w:val="21"/>
                <w:lang w:eastAsia="zh-CN"/>
              </w:rPr>
              <w:t>奖</w:t>
            </w:r>
          </w:p>
        </w:tc>
        <w:tc>
          <w:tcPr>
            <w:tcW w:w="1008" w:type="pct"/>
            <w:shd w:val="clear" w:color="auto" w:fill="auto"/>
            <w:vAlign w:val="center"/>
          </w:tcPr>
          <w:p>
            <w:pPr>
              <w:spacing w:line="500" w:lineRule="atLeast"/>
              <w:jc w:val="center"/>
              <w:rPr>
                <w:rFonts w:ascii="宋体" w:hAnsi="宋体" w:eastAsia="宋体" w:cs="宋体"/>
                <w:color w:val="000000"/>
                <w:szCs w:val="21"/>
              </w:rPr>
            </w:pPr>
            <w:r>
              <w:rPr>
                <w:rFonts w:hint="eastAsia" w:ascii="宋体" w:hAnsi="宋体" w:eastAsia="宋体" w:cs="宋体"/>
                <w:color w:val="000000"/>
                <w:szCs w:val="21"/>
              </w:rPr>
              <w:t>全国金融专业学位研究生教育指导委员会</w:t>
            </w:r>
          </w:p>
        </w:tc>
        <w:tc>
          <w:tcPr>
            <w:tcW w:w="373" w:type="pct"/>
            <w:shd w:val="clear" w:color="auto" w:fill="auto"/>
            <w:vAlign w:val="center"/>
          </w:tcPr>
          <w:p>
            <w:pPr>
              <w:spacing w:line="500" w:lineRule="atLeast"/>
              <w:jc w:val="center"/>
              <w:rPr>
                <w:rFonts w:ascii="宋体" w:hAnsi="宋体" w:eastAsia="宋体" w:cs="宋体"/>
                <w:color w:val="000000"/>
                <w:szCs w:val="21"/>
              </w:rPr>
            </w:pPr>
            <w:r>
              <w:rPr>
                <w:rFonts w:hint="eastAsia" w:ascii="宋体" w:hAnsi="宋体" w:eastAsia="宋体" w:cs="宋体"/>
                <w:color w:val="000000"/>
                <w:szCs w:val="21"/>
              </w:rPr>
              <w:t>其他</w:t>
            </w:r>
          </w:p>
        </w:tc>
        <w:tc>
          <w:tcPr>
            <w:tcW w:w="558" w:type="pct"/>
            <w:shd w:val="clear" w:color="auto" w:fill="auto"/>
            <w:vAlign w:val="center"/>
          </w:tcPr>
          <w:p>
            <w:pPr>
              <w:widowControl/>
              <w:spacing w:line="500" w:lineRule="atLeast"/>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2020.10</w:t>
            </w:r>
          </w:p>
        </w:tc>
        <w:tc>
          <w:tcPr>
            <w:tcW w:w="447" w:type="pct"/>
            <w:shd w:val="clear" w:color="auto" w:fill="auto"/>
            <w:vAlign w:val="center"/>
          </w:tcPr>
          <w:p>
            <w:pPr>
              <w:widowControl/>
              <w:spacing w:line="500" w:lineRule="atLeast"/>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林丽琼（第一）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255" w:type="pct"/>
            <w:shd w:val="clear" w:color="auto" w:fill="auto"/>
            <w:vAlign w:val="center"/>
          </w:tcPr>
          <w:p>
            <w:pPr>
              <w:widowControl/>
              <w:spacing w:line="500" w:lineRule="atLeast"/>
              <w:jc w:val="right"/>
              <w:textAlignment w:val="center"/>
              <w:rPr>
                <w:rFonts w:ascii="宋体" w:hAnsi="宋体" w:eastAsia="宋体" w:cs="宋体"/>
                <w:color w:val="000000"/>
                <w:szCs w:val="21"/>
              </w:rPr>
            </w:pPr>
            <w:r>
              <w:rPr>
                <w:rFonts w:hint="eastAsia" w:ascii="宋体" w:hAnsi="宋体" w:eastAsia="宋体" w:cs="宋体"/>
                <w:color w:val="000000"/>
                <w:kern w:val="0"/>
                <w:sz w:val="22"/>
                <w:szCs w:val="22"/>
                <w:lang w:bidi="ar"/>
              </w:rPr>
              <w:t>6</w:t>
            </w:r>
          </w:p>
        </w:tc>
        <w:tc>
          <w:tcPr>
            <w:tcW w:w="941" w:type="pct"/>
            <w:shd w:val="clear" w:color="auto" w:fill="auto"/>
            <w:vAlign w:val="center"/>
          </w:tcPr>
          <w:p>
            <w:pPr>
              <w:widowControl/>
              <w:spacing w:line="500" w:lineRule="atLeast"/>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全国高校商业精英挑战赛“致教杯”跨境电商创新实践大赛</w:t>
            </w:r>
          </w:p>
        </w:tc>
        <w:tc>
          <w:tcPr>
            <w:tcW w:w="1042" w:type="pct"/>
            <w:shd w:val="clear" w:color="auto" w:fill="auto"/>
            <w:vAlign w:val="center"/>
          </w:tcPr>
          <w:p>
            <w:pPr>
              <w:widowControl/>
              <w:spacing w:line="500" w:lineRule="atLeast"/>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优秀指导教师</w:t>
            </w:r>
          </w:p>
        </w:tc>
        <w:tc>
          <w:tcPr>
            <w:tcW w:w="373" w:type="pct"/>
            <w:shd w:val="clear" w:color="auto" w:fill="auto"/>
            <w:vAlign w:val="center"/>
          </w:tcPr>
          <w:p>
            <w:pPr>
              <w:widowControl/>
              <w:spacing w:line="500" w:lineRule="atLeast"/>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全国总决赛一等奖</w:t>
            </w:r>
          </w:p>
        </w:tc>
        <w:tc>
          <w:tcPr>
            <w:tcW w:w="1008" w:type="pct"/>
            <w:shd w:val="clear" w:color="auto" w:fill="auto"/>
            <w:vAlign w:val="center"/>
          </w:tcPr>
          <w:p>
            <w:pPr>
              <w:widowControl/>
              <w:spacing w:line="500" w:lineRule="atLeast"/>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中国国际贸易促进委员会商业行业委员会、中国国际商会商业行业商会、中国商业经济学会</w:t>
            </w:r>
          </w:p>
        </w:tc>
        <w:tc>
          <w:tcPr>
            <w:tcW w:w="373" w:type="pct"/>
            <w:shd w:val="clear" w:color="auto" w:fill="auto"/>
            <w:vAlign w:val="center"/>
          </w:tcPr>
          <w:p>
            <w:pPr>
              <w:widowControl/>
              <w:spacing w:line="500" w:lineRule="atLeast"/>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学会</w:t>
            </w:r>
          </w:p>
        </w:tc>
        <w:tc>
          <w:tcPr>
            <w:tcW w:w="558" w:type="pct"/>
            <w:shd w:val="clear" w:color="auto" w:fill="auto"/>
            <w:vAlign w:val="center"/>
          </w:tcPr>
          <w:p>
            <w:pPr>
              <w:widowControl/>
              <w:spacing w:line="500" w:lineRule="atLeast"/>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2020.11</w:t>
            </w:r>
          </w:p>
        </w:tc>
        <w:tc>
          <w:tcPr>
            <w:tcW w:w="447" w:type="pct"/>
            <w:shd w:val="clear" w:color="auto" w:fill="auto"/>
            <w:vAlign w:val="center"/>
          </w:tcPr>
          <w:p>
            <w:pPr>
              <w:widowControl/>
              <w:spacing w:line="500" w:lineRule="atLeast"/>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林本喜（第一）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0" w:hRule="atLeast"/>
        </w:trPr>
        <w:tc>
          <w:tcPr>
            <w:tcW w:w="255" w:type="pct"/>
            <w:shd w:val="clear" w:color="auto" w:fill="auto"/>
            <w:vAlign w:val="center"/>
          </w:tcPr>
          <w:p>
            <w:pPr>
              <w:widowControl/>
              <w:spacing w:line="500" w:lineRule="atLeast"/>
              <w:jc w:val="right"/>
              <w:textAlignment w:val="center"/>
              <w:rPr>
                <w:rFonts w:ascii="宋体" w:hAnsi="宋体" w:eastAsia="宋体" w:cs="宋体"/>
                <w:color w:val="000000"/>
                <w:szCs w:val="21"/>
              </w:rPr>
            </w:pPr>
            <w:r>
              <w:rPr>
                <w:rFonts w:hint="eastAsia" w:ascii="宋体" w:hAnsi="宋体" w:eastAsia="宋体" w:cs="宋体"/>
                <w:color w:val="000000"/>
                <w:kern w:val="0"/>
                <w:sz w:val="22"/>
                <w:szCs w:val="22"/>
                <w:lang w:bidi="ar"/>
              </w:rPr>
              <w:t>7</w:t>
            </w:r>
          </w:p>
        </w:tc>
        <w:tc>
          <w:tcPr>
            <w:tcW w:w="941" w:type="pct"/>
            <w:shd w:val="clear" w:color="auto" w:fill="auto"/>
            <w:vAlign w:val="center"/>
          </w:tcPr>
          <w:p>
            <w:pPr>
              <w:widowControl/>
              <w:spacing w:line="500" w:lineRule="atLeast"/>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全国高校商业精英挑战赛“致教杯”跨境电商创新实践大赛</w:t>
            </w:r>
          </w:p>
        </w:tc>
        <w:tc>
          <w:tcPr>
            <w:tcW w:w="1042" w:type="pct"/>
            <w:shd w:val="clear" w:color="auto" w:fill="auto"/>
            <w:vAlign w:val="center"/>
          </w:tcPr>
          <w:p>
            <w:pPr>
              <w:widowControl/>
              <w:spacing w:line="500" w:lineRule="atLeast"/>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优秀指导教师</w:t>
            </w:r>
          </w:p>
        </w:tc>
        <w:tc>
          <w:tcPr>
            <w:tcW w:w="373" w:type="pct"/>
            <w:shd w:val="clear" w:color="auto" w:fill="auto"/>
            <w:vAlign w:val="center"/>
          </w:tcPr>
          <w:p>
            <w:pPr>
              <w:widowControl/>
              <w:spacing w:line="500" w:lineRule="atLeast"/>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全国精英赛一等奖</w:t>
            </w:r>
          </w:p>
        </w:tc>
        <w:tc>
          <w:tcPr>
            <w:tcW w:w="1008" w:type="pct"/>
            <w:shd w:val="clear" w:color="auto" w:fill="auto"/>
            <w:vAlign w:val="center"/>
          </w:tcPr>
          <w:p>
            <w:pPr>
              <w:widowControl/>
              <w:spacing w:line="500" w:lineRule="atLeast"/>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中国国际贸易促进委员会商业行业委员会、中国国际商会商业行业商会、中国商业经济学会</w:t>
            </w:r>
          </w:p>
        </w:tc>
        <w:tc>
          <w:tcPr>
            <w:tcW w:w="373" w:type="pct"/>
            <w:shd w:val="clear" w:color="auto" w:fill="auto"/>
            <w:vAlign w:val="center"/>
          </w:tcPr>
          <w:p>
            <w:pPr>
              <w:widowControl/>
              <w:spacing w:line="500" w:lineRule="atLeast"/>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学会</w:t>
            </w:r>
          </w:p>
        </w:tc>
        <w:tc>
          <w:tcPr>
            <w:tcW w:w="558" w:type="pct"/>
            <w:shd w:val="clear" w:color="auto" w:fill="auto"/>
            <w:vAlign w:val="center"/>
          </w:tcPr>
          <w:p>
            <w:pPr>
              <w:widowControl/>
              <w:spacing w:line="500" w:lineRule="atLeast"/>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2020.11</w:t>
            </w:r>
          </w:p>
        </w:tc>
        <w:tc>
          <w:tcPr>
            <w:tcW w:w="447" w:type="pct"/>
            <w:shd w:val="clear" w:color="auto" w:fill="auto"/>
            <w:vAlign w:val="center"/>
          </w:tcPr>
          <w:p>
            <w:pPr>
              <w:widowControl/>
              <w:spacing w:line="500" w:lineRule="atLeast"/>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林本喜（第二）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5" w:hRule="atLeast"/>
        </w:trPr>
        <w:tc>
          <w:tcPr>
            <w:tcW w:w="255" w:type="pct"/>
            <w:shd w:val="clear" w:color="auto" w:fill="auto"/>
            <w:vAlign w:val="center"/>
          </w:tcPr>
          <w:p>
            <w:pPr>
              <w:widowControl/>
              <w:spacing w:line="500" w:lineRule="atLeast"/>
              <w:jc w:val="right"/>
              <w:textAlignment w:val="center"/>
              <w:rPr>
                <w:rFonts w:ascii="宋体" w:hAnsi="宋体" w:eastAsia="宋体" w:cs="宋体"/>
                <w:color w:val="000000"/>
                <w:szCs w:val="21"/>
              </w:rPr>
            </w:pPr>
            <w:r>
              <w:rPr>
                <w:rFonts w:hint="eastAsia" w:ascii="宋体" w:hAnsi="宋体" w:eastAsia="宋体" w:cs="宋体"/>
                <w:color w:val="000000"/>
                <w:kern w:val="0"/>
                <w:sz w:val="22"/>
                <w:szCs w:val="22"/>
                <w:lang w:bidi="ar"/>
              </w:rPr>
              <w:t>8</w:t>
            </w:r>
          </w:p>
        </w:tc>
        <w:tc>
          <w:tcPr>
            <w:tcW w:w="941" w:type="pct"/>
            <w:shd w:val="clear" w:color="auto" w:fill="auto"/>
            <w:vAlign w:val="center"/>
          </w:tcPr>
          <w:p>
            <w:pPr>
              <w:widowControl/>
              <w:spacing w:line="500" w:lineRule="atLeast"/>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第十届全国大学生电子商务“创新、创意及创业”挑战赛</w:t>
            </w:r>
          </w:p>
        </w:tc>
        <w:tc>
          <w:tcPr>
            <w:tcW w:w="1042" w:type="pct"/>
            <w:shd w:val="clear" w:color="auto" w:fill="auto"/>
            <w:vAlign w:val="center"/>
          </w:tcPr>
          <w:p>
            <w:pPr>
              <w:widowControl/>
              <w:spacing w:line="500" w:lineRule="atLeast"/>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安全着陆</w:t>
            </w:r>
          </w:p>
        </w:tc>
        <w:tc>
          <w:tcPr>
            <w:tcW w:w="373" w:type="pct"/>
            <w:shd w:val="clear" w:color="auto" w:fill="auto"/>
            <w:vAlign w:val="center"/>
          </w:tcPr>
          <w:p>
            <w:pPr>
              <w:widowControl/>
              <w:spacing w:line="500" w:lineRule="atLeast"/>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省赛一等奖</w:t>
            </w:r>
          </w:p>
        </w:tc>
        <w:tc>
          <w:tcPr>
            <w:tcW w:w="1008" w:type="pct"/>
            <w:shd w:val="clear" w:color="auto" w:fill="auto"/>
            <w:vAlign w:val="center"/>
          </w:tcPr>
          <w:p>
            <w:pPr>
              <w:widowControl/>
              <w:spacing w:line="500" w:lineRule="atLeast"/>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第十届全国大学生电子商务“创新、创意及创业”挑战赛组委会</w:t>
            </w:r>
          </w:p>
        </w:tc>
        <w:tc>
          <w:tcPr>
            <w:tcW w:w="373" w:type="pct"/>
            <w:shd w:val="clear" w:color="auto" w:fill="auto"/>
            <w:vAlign w:val="center"/>
          </w:tcPr>
          <w:p>
            <w:pPr>
              <w:widowControl/>
              <w:spacing w:line="500" w:lineRule="atLeast"/>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学会</w:t>
            </w:r>
          </w:p>
        </w:tc>
        <w:tc>
          <w:tcPr>
            <w:tcW w:w="558" w:type="pct"/>
            <w:shd w:val="clear" w:color="auto" w:fill="auto"/>
            <w:vAlign w:val="center"/>
          </w:tcPr>
          <w:p>
            <w:pPr>
              <w:widowControl/>
              <w:spacing w:line="500" w:lineRule="atLeast"/>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2020.08</w:t>
            </w:r>
          </w:p>
        </w:tc>
        <w:tc>
          <w:tcPr>
            <w:tcW w:w="447" w:type="pct"/>
            <w:shd w:val="clear" w:color="auto" w:fill="auto"/>
            <w:vAlign w:val="center"/>
          </w:tcPr>
          <w:p>
            <w:pPr>
              <w:widowControl/>
              <w:spacing w:line="500" w:lineRule="atLeast"/>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何均琳（第一）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55" w:type="pct"/>
            <w:shd w:val="clear" w:color="auto" w:fill="auto"/>
            <w:vAlign w:val="center"/>
          </w:tcPr>
          <w:p>
            <w:pPr>
              <w:widowControl/>
              <w:spacing w:line="500" w:lineRule="atLeast"/>
              <w:jc w:val="right"/>
              <w:textAlignment w:val="center"/>
              <w:rPr>
                <w:rFonts w:ascii="宋体" w:hAnsi="宋体" w:eastAsia="宋体" w:cs="宋体"/>
                <w:color w:val="000000"/>
                <w:szCs w:val="21"/>
              </w:rPr>
            </w:pPr>
            <w:r>
              <w:rPr>
                <w:rFonts w:hint="eastAsia" w:ascii="宋体" w:hAnsi="宋体" w:eastAsia="宋体" w:cs="宋体"/>
                <w:color w:val="000000"/>
                <w:kern w:val="0"/>
                <w:sz w:val="22"/>
                <w:szCs w:val="22"/>
                <w:lang w:bidi="ar"/>
              </w:rPr>
              <w:t>9</w:t>
            </w:r>
          </w:p>
        </w:tc>
        <w:tc>
          <w:tcPr>
            <w:tcW w:w="941" w:type="pct"/>
            <w:shd w:val="clear" w:color="auto" w:fill="auto"/>
            <w:vAlign w:val="center"/>
          </w:tcPr>
          <w:p>
            <w:pPr>
              <w:widowControl/>
              <w:spacing w:line="500" w:lineRule="atLeast"/>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第十届全国大学生电子商务“创新、创意及创业”挑战赛</w:t>
            </w:r>
          </w:p>
        </w:tc>
        <w:tc>
          <w:tcPr>
            <w:tcW w:w="1042" w:type="pct"/>
            <w:shd w:val="clear" w:color="auto" w:fill="auto"/>
            <w:vAlign w:val="center"/>
          </w:tcPr>
          <w:p>
            <w:pPr>
              <w:widowControl/>
              <w:spacing w:line="500" w:lineRule="atLeast"/>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难忘今宵</w:t>
            </w:r>
          </w:p>
        </w:tc>
        <w:tc>
          <w:tcPr>
            <w:tcW w:w="373" w:type="pct"/>
            <w:shd w:val="clear" w:color="auto" w:fill="auto"/>
            <w:vAlign w:val="center"/>
          </w:tcPr>
          <w:p>
            <w:pPr>
              <w:widowControl/>
              <w:spacing w:line="500" w:lineRule="atLeast"/>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省赛一等奖</w:t>
            </w:r>
          </w:p>
        </w:tc>
        <w:tc>
          <w:tcPr>
            <w:tcW w:w="1008" w:type="pct"/>
            <w:shd w:val="clear" w:color="auto" w:fill="auto"/>
            <w:vAlign w:val="center"/>
          </w:tcPr>
          <w:p>
            <w:pPr>
              <w:widowControl/>
              <w:spacing w:line="500" w:lineRule="atLeast"/>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第十届全国大学生电子商务“创新、创意及创业”挑战赛组委会</w:t>
            </w:r>
          </w:p>
        </w:tc>
        <w:tc>
          <w:tcPr>
            <w:tcW w:w="373" w:type="pct"/>
            <w:shd w:val="clear" w:color="auto" w:fill="auto"/>
            <w:vAlign w:val="center"/>
          </w:tcPr>
          <w:p>
            <w:pPr>
              <w:widowControl/>
              <w:spacing w:line="500" w:lineRule="atLeast"/>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学会</w:t>
            </w:r>
          </w:p>
        </w:tc>
        <w:tc>
          <w:tcPr>
            <w:tcW w:w="558" w:type="pct"/>
            <w:shd w:val="clear" w:color="auto" w:fill="auto"/>
            <w:vAlign w:val="center"/>
          </w:tcPr>
          <w:p>
            <w:pPr>
              <w:widowControl/>
              <w:spacing w:line="500" w:lineRule="atLeast"/>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2020.08</w:t>
            </w:r>
          </w:p>
        </w:tc>
        <w:tc>
          <w:tcPr>
            <w:tcW w:w="447" w:type="pct"/>
            <w:shd w:val="clear" w:color="auto" w:fill="auto"/>
            <w:vAlign w:val="center"/>
          </w:tcPr>
          <w:p>
            <w:pPr>
              <w:widowControl/>
              <w:spacing w:line="500" w:lineRule="atLeast"/>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何均琳（第一）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trPr>
        <w:tc>
          <w:tcPr>
            <w:tcW w:w="255" w:type="pct"/>
            <w:shd w:val="clear" w:color="auto" w:fill="auto"/>
            <w:vAlign w:val="center"/>
          </w:tcPr>
          <w:p>
            <w:pPr>
              <w:widowControl/>
              <w:spacing w:line="500" w:lineRule="atLeast"/>
              <w:jc w:val="right"/>
              <w:textAlignment w:val="center"/>
              <w:rPr>
                <w:rFonts w:ascii="宋体" w:hAnsi="宋体" w:eastAsia="宋体" w:cs="宋体"/>
                <w:color w:val="000000"/>
                <w:szCs w:val="21"/>
              </w:rPr>
            </w:pPr>
            <w:r>
              <w:rPr>
                <w:rFonts w:hint="eastAsia" w:ascii="宋体" w:hAnsi="宋体" w:eastAsia="宋体" w:cs="宋体"/>
                <w:color w:val="000000"/>
                <w:kern w:val="0"/>
                <w:sz w:val="22"/>
                <w:szCs w:val="22"/>
                <w:lang w:bidi="ar"/>
              </w:rPr>
              <w:t>10</w:t>
            </w:r>
          </w:p>
        </w:tc>
        <w:tc>
          <w:tcPr>
            <w:tcW w:w="941" w:type="pct"/>
            <w:shd w:val="clear" w:color="auto" w:fill="auto"/>
            <w:vAlign w:val="center"/>
          </w:tcPr>
          <w:p>
            <w:pPr>
              <w:widowControl/>
              <w:spacing w:line="500" w:lineRule="atLeast"/>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全国高校商业精英挑战赛</w:t>
            </w:r>
          </w:p>
        </w:tc>
        <w:tc>
          <w:tcPr>
            <w:tcW w:w="1042" w:type="pct"/>
            <w:shd w:val="clear" w:color="auto" w:fill="auto"/>
            <w:vAlign w:val="center"/>
          </w:tcPr>
          <w:p>
            <w:pPr>
              <w:widowControl/>
              <w:spacing w:line="500" w:lineRule="atLeast"/>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指导老师一等奖</w:t>
            </w:r>
          </w:p>
        </w:tc>
        <w:tc>
          <w:tcPr>
            <w:tcW w:w="373" w:type="pct"/>
            <w:shd w:val="clear" w:color="auto" w:fill="auto"/>
            <w:vAlign w:val="center"/>
          </w:tcPr>
          <w:p>
            <w:pPr>
              <w:widowControl/>
              <w:spacing w:line="500" w:lineRule="atLeast"/>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一等奖</w:t>
            </w:r>
          </w:p>
        </w:tc>
        <w:tc>
          <w:tcPr>
            <w:tcW w:w="1008" w:type="pct"/>
            <w:shd w:val="clear" w:color="auto" w:fill="auto"/>
            <w:vAlign w:val="center"/>
          </w:tcPr>
          <w:p>
            <w:pPr>
              <w:widowControl/>
              <w:spacing w:line="500" w:lineRule="atLeast"/>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中国国际贸易促进委员会商业行业委员会</w:t>
            </w:r>
          </w:p>
        </w:tc>
        <w:tc>
          <w:tcPr>
            <w:tcW w:w="373" w:type="pct"/>
            <w:shd w:val="clear" w:color="auto" w:fill="auto"/>
            <w:vAlign w:val="center"/>
          </w:tcPr>
          <w:p>
            <w:pPr>
              <w:widowControl/>
              <w:spacing w:line="500" w:lineRule="atLeast"/>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学会</w:t>
            </w:r>
          </w:p>
        </w:tc>
        <w:tc>
          <w:tcPr>
            <w:tcW w:w="558" w:type="pct"/>
            <w:shd w:val="clear" w:color="auto" w:fill="auto"/>
            <w:vAlign w:val="center"/>
          </w:tcPr>
          <w:p>
            <w:pPr>
              <w:widowControl/>
              <w:spacing w:line="500" w:lineRule="atLeast"/>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2020.11</w:t>
            </w:r>
          </w:p>
        </w:tc>
        <w:tc>
          <w:tcPr>
            <w:tcW w:w="447" w:type="pct"/>
            <w:shd w:val="clear" w:color="auto" w:fill="auto"/>
            <w:vAlign w:val="center"/>
          </w:tcPr>
          <w:p>
            <w:pPr>
              <w:widowControl/>
              <w:spacing w:line="500" w:lineRule="atLeast"/>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石丽芳（第一）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5" w:hRule="atLeast"/>
        </w:trPr>
        <w:tc>
          <w:tcPr>
            <w:tcW w:w="255" w:type="pct"/>
            <w:shd w:val="clear" w:color="auto" w:fill="auto"/>
            <w:vAlign w:val="center"/>
          </w:tcPr>
          <w:p>
            <w:pPr>
              <w:widowControl/>
              <w:spacing w:line="500" w:lineRule="atLeast"/>
              <w:jc w:val="right"/>
              <w:textAlignment w:val="center"/>
              <w:rPr>
                <w:rFonts w:ascii="宋体" w:hAnsi="宋体" w:eastAsia="宋体" w:cs="宋体"/>
                <w:color w:val="000000"/>
                <w:szCs w:val="21"/>
              </w:rPr>
            </w:pPr>
            <w:r>
              <w:rPr>
                <w:rFonts w:hint="eastAsia" w:ascii="宋体" w:hAnsi="宋体" w:eastAsia="宋体" w:cs="宋体"/>
                <w:color w:val="000000"/>
                <w:kern w:val="0"/>
                <w:sz w:val="22"/>
                <w:szCs w:val="22"/>
                <w:lang w:bidi="ar"/>
              </w:rPr>
              <w:t>11</w:t>
            </w:r>
          </w:p>
        </w:tc>
        <w:tc>
          <w:tcPr>
            <w:tcW w:w="941" w:type="pct"/>
            <w:shd w:val="clear" w:color="auto" w:fill="auto"/>
            <w:vAlign w:val="center"/>
          </w:tcPr>
          <w:p>
            <w:pPr>
              <w:widowControl/>
              <w:spacing w:line="500" w:lineRule="atLeast"/>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第六届全国优秀金融硕士教学案例大赛</w:t>
            </w:r>
          </w:p>
        </w:tc>
        <w:tc>
          <w:tcPr>
            <w:tcW w:w="1042" w:type="pct"/>
            <w:shd w:val="clear" w:color="auto" w:fill="auto"/>
            <w:vAlign w:val="center"/>
          </w:tcPr>
          <w:p>
            <w:pPr>
              <w:widowControl/>
              <w:spacing w:line="500" w:lineRule="atLeast"/>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案例：从翱翔雄鹰到一地鸡毛的阿根廷之殇——发展中国家资本账户开放与金融安全的权衡分析</w:t>
            </w:r>
          </w:p>
        </w:tc>
        <w:tc>
          <w:tcPr>
            <w:tcW w:w="373" w:type="pct"/>
            <w:shd w:val="clear" w:color="auto" w:fill="auto"/>
            <w:vAlign w:val="center"/>
          </w:tcPr>
          <w:p>
            <w:pPr>
              <w:widowControl/>
              <w:spacing w:line="500" w:lineRule="atLeast"/>
              <w:jc w:val="center"/>
              <w:textAlignment w:val="center"/>
              <w:rPr>
                <w:rFonts w:ascii="宋体" w:hAnsi="宋体" w:eastAsia="宋体" w:cs="宋体"/>
                <w:color w:val="000000"/>
                <w:szCs w:val="21"/>
              </w:rPr>
            </w:pPr>
            <w:r>
              <w:rPr>
                <w:rFonts w:hint="eastAsia" w:ascii="宋体" w:hAnsi="宋体" w:eastAsia="宋体" w:cs="宋体"/>
                <w:color w:val="000000"/>
                <w:szCs w:val="21"/>
              </w:rPr>
              <w:t>优秀案例</w:t>
            </w:r>
          </w:p>
        </w:tc>
        <w:tc>
          <w:tcPr>
            <w:tcW w:w="1008" w:type="pct"/>
            <w:shd w:val="clear" w:color="auto" w:fill="auto"/>
            <w:vAlign w:val="center"/>
          </w:tcPr>
          <w:p>
            <w:pPr>
              <w:spacing w:line="500" w:lineRule="atLeast"/>
              <w:jc w:val="center"/>
              <w:rPr>
                <w:rFonts w:ascii="宋体" w:hAnsi="宋体" w:eastAsia="宋体" w:cs="宋体"/>
                <w:color w:val="000000"/>
                <w:szCs w:val="21"/>
              </w:rPr>
            </w:pPr>
            <w:r>
              <w:rPr>
                <w:rFonts w:hint="eastAsia" w:ascii="宋体" w:hAnsi="宋体" w:eastAsia="宋体" w:cs="宋体"/>
                <w:color w:val="000000"/>
                <w:szCs w:val="21"/>
              </w:rPr>
              <w:t>全国金融专业学位研究生教育指导委员会</w:t>
            </w:r>
          </w:p>
        </w:tc>
        <w:tc>
          <w:tcPr>
            <w:tcW w:w="373" w:type="pct"/>
            <w:shd w:val="clear" w:color="auto" w:fill="auto"/>
            <w:vAlign w:val="center"/>
          </w:tcPr>
          <w:p>
            <w:pPr>
              <w:spacing w:line="500" w:lineRule="atLeast"/>
              <w:jc w:val="center"/>
              <w:rPr>
                <w:rFonts w:ascii="宋体" w:hAnsi="宋体" w:eastAsia="宋体" w:cs="宋体"/>
                <w:color w:val="000000"/>
                <w:szCs w:val="21"/>
              </w:rPr>
            </w:pPr>
            <w:r>
              <w:rPr>
                <w:rFonts w:hint="eastAsia" w:ascii="宋体" w:hAnsi="宋体" w:eastAsia="宋体" w:cs="宋体"/>
                <w:color w:val="000000"/>
                <w:szCs w:val="21"/>
              </w:rPr>
              <w:t>其他</w:t>
            </w:r>
          </w:p>
        </w:tc>
        <w:tc>
          <w:tcPr>
            <w:tcW w:w="558" w:type="pct"/>
            <w:shd w:val="clear" w:color="auto" w:fill="auto"/>
            <w:vAlign w:val="center"/>
          </w:tcPr>
          <w:p>
            <w:pPr>
              <w:widowControl/>
              <w:spacing w:line="500" w:lineRule="atLeast"/>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2020.10</w:t>
            </w:r>
          </w:p>
        </w:tc>
        <w:tc>
          <w:tcPr>
            <w:tcW w:w="447" w:type="pct"/>
            <w:shd w:val="clear" w:color="auto" w:fill="auto"/>
            <w:vAlign w:val="center"/>
          </w:tcPr>
          <w:p>
            <w:pPr>
              <w:widowControl/>
              <w:spacing w:line="500" w:lineRule="atLeast"/>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游碧蓉（第一）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5" w:hRule="atLeast"/>
        </w:trPr>
        <w:tc>
          <w:tcPr>
            <w:tcW w:w="255" w:type="pct"/>
            <w:shd w:val="clear" w:color="auto" w:fill="auto"/>
            <w:vAlign w:val="center"/>
          </w:tcPr>
          <w:p>
            <w:pPr>
              <w:widowControl/>
              <w:spacing w:line="500" w:lineRule="atLeast"/>
              <w:jc w:val="right"/>
              <w:textAlignment w:val="center"/>
              <w:rPr>
                <w:rFonts w:ascii="宋体" w:hAnsi="宋体" w:eastAsia="宋体" w:cs="宋体"/>
                <w:color w:val="000000"/>
                <w:szCs w:val="21"/>
              </w:rPr>
            </w:pPr>
            <w:r>
              <w:rPr>
                <w:rFonts w:hint="eastAsia" w:ascii="宋体" w:hAnsi="宋体" w:eastAsia="宋体" w:cs="宋体"/>
                <w:color w:val="000000"/>
                <w:kern w:val="0"/>
                <w:sz w:val="22"/>
                <w:szCs w:val="22"/>
                <w:lang w:bidi="ar"/>
              </w:rPr>
              <w:t>12</w:t>
            </w:r>
          </w:p>
        </w:tc>
        <w:tc>
          <w:tcPr>
            <w:tcW w:w="941" w:type="pct"/>
            <w:shd w:val="clear" w:color="auto" w:fill="auto"/>
            <w:vAlign w:val="center"/>
          </w:tcPr>
          <w:p>
            <w:pPr>
              <w:widowControl/>
              <w:spacing w:line="500" w:lineRule="atLeast"/>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第六届全国优秀金融硕士教学案例大赛</w:t>
            </w:r>
          </w:p>
        </w:tc>
        <w:tc>
          <w:tcPr>
            <w:tcW w:w="1042" w:type="pct"/>
            <w:shd w:val="clear" w:color="auto" w:fill="auto"/>
            <w:vAlign w:val="center"/>
          </w:tcPr>
          <w:p>
            <w:pPr>
              <w:widowControl/>
              <w:spacing w:line="500" w:lineRule="atLeast"/>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案例：从翱翔雄鹰到一地鸡毛的阿根廷之殇——发展中国家资本账户开放与金融安全的权衡分析</w:t>
            </w:r>
          </w:p>
        </w:tc>
        <w:tc>
          <w:tcPr>
            <w:tcW w:w="373" w:type="pct"/>
            <w:shd w:val="clear" w:color="auto" w:fill="auto"/>
            <w:vAlign w:val="center"/>
          </w:tcPr>
          <w:p>
            <w:pPr>
              <w:widowControl/>
              <w:spacing w:line="500" w:lineRule="atLeast"/>
              <w:jc w:val="center"/>
              <w:textAlignment w:val="center"/>
              <w:rPr>
                <w:rFonts w:hint="eastAsia" w:ascii="宋体" w:hAnsi="宋体" w:eastAsia="宋体" w:cs="宋体"/>
                <w:color w:val="000000"/>
                <w:szCs w:val="21"/>
                <w:lang w:eastAsia="zh-CN"/>
              </w:rPr>
            </w:pPr>
            <w:r>
              <w:rPr>
                <w:rFonts w:hint="eastAsia" w:ascii="宋体" w:hAnsi="宋体" w:eastAsia="宋体" w:cs="宋体"/>
                <w:color w:val="000000"/>
                <w:szCs w:val="21"/>
              </w:rPr>
              <w:t>优秀案例</w:t>
            </w:r>
            <w:r>
              <w:rPr>
                <w:rFonts w:hint="eastAsia" w:ascii="宋体" w:hAnsi="宋体" w:eastAsia="宋体" w:cs="宋体"/>
                <w:color w:val="000000"/>
                <w:szCs w:val="21"/>
                <w:lang w:eastAsia="zh-CN"/>
              </w:rPr>
              <w:t>奖</w:t>
            </w:r>
          </w:p>
        </w:tc>
        <w:tc>
          <w:tcPr>
            <w:tcW w:w="1008" w:type="pct"/>
            <w:shd w:val="clear" w:color="auto" w:fill="auto"/>
            <w:vAlign w:val="center"/>
          </w:tcPr>
          <w:p>
            <w:pPr>
              <w:spacing w:line="500" w:lineRule="atLeast"/>
              <w:jc w:val="center"/>
              <w:rPr>
                <w:rFonts w:ascii="宋体" w:hAnsi="宋体" w:eastAsia="宋体" w:cs="宋体"/>
                <w:color w:val="000000"/>
                <w:szCs w:val="21"/>
              </w:rPr>
            </w:pPr>
            <w:r>
              <w:rPr>
                <w:rFonts w:hint="eastAsia" w:ascii="宋体" w:hAnsi="宋体" w:eastAsia="宋体" w:cs="宋体"/>
                <w:color w:val="000000"/>
                <w:szCs w:val="21"/>
              </w:rPr>
              <w:t>全国金融专业学位研究生教育指导委员会</w:t>
            </w:r>
          </w:p>
        </w:tc>
        <w:tc>
          <w:tcPr>
            <w:tcW w:w="373" w:type="pct"/>
            <w:shd w:val="clear" w:color="auto" w:fill="auto"/>
            <w:vAlign w:val="center"/>
          </w:tcPr>
          <w:p>
            <w:pPr>
              <w:spacing w:line="500" w:lineRule="atLeast"/>
              <w:jc w:val="center"/>
              <w:rPr>
                <w:rFonts w:ascii="宋体" w:hAnsi="宋体" w:eastAsia="宋体" w:cs="宋体"/>
                <w:color w:val="000000"/>
                <w:szCs w:val="21"/>
              </w:rPr>
            </w:pPr>
            <w:r>
              <w:rPr>
                <w:rFonts w:hint="eastAsia" w:ascii="宋体" w:hAnsi="宋体" w:eastAsia="宋体" w:cs="宋体"/>
                <w:color w:val="000000"/>
                <w:szCs w:val="21"/>
              </w:rPr>
              <w:t>其他</w:t>
            </w:r>
          </w:p>
        </w:tc>
        <w:tc>
          <w:tcPr>
            <w:tcW w:w="558" w:type="pct"/>
            <w:shd w:val="clear" w:color="auto" w:fill="auto"/>
            <w:vAlign w:val="center"/>
          </w:tcPr>
          <w:p>
            <w:pPr>
              <w:widowControl/>
              <w:spacing w:line="500" w:lineRule="atLeast"/>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2020.10 </w:t>
            </w:r>
          </w:p>
        </w:tc>
        <w:tc>
          <w:tcPr>
            <w:tcW w:w="447" w:type="pct"/>
            <w:shd w:val="clear" w:color="auto" w:fill="auto"/>
            <w:vAlign w:val="center"/>
          </w:tcPr>
          <w:p>
            <w:pPr>
              <w:widowControl/>
              <w:spacing w:line="500" w:lineRule="atLeast"/>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林丽琼（第五）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trPr>
        <w:tc>
          <w:tcPr>
            <w:tcW w:w="255" w:type="pct"/>
            <w:shd w:val="clear" w:color="auto" w:fill="auto"/>
            <w:vAlign w:val="center"/>
          </w:tcPr>
          <w:p>
            <w:pPr>
              <w:widowControl/>
              <w:spacing w:line="500" w:lineRule="atLeast"/>
              <w:jc w:val="right"/>
              <w:textAlignment w:val="center"/>
              <w:rPr>
                <w:rFonts w:ascii="宋体" w:hAnsi="宋体" w:eastAsia="宋体" w:cs="宋体"/>
                <w:color w:val="000000"/>
                <w:szCs w:val="21"/>
              </w:rPr>
            </w:pPr>
            <w:r>
              <w:rPr>
                <w:rFonts w:hint="eastAsia" w:ascii="宋体" w:hAnsi="宋体" w:eastAsia="宋体" w:cs="宋体"/>
                <w:color w:val="000000"/>
                <w:kern w:val="0"/>
                <w:sz w:val="22"/>
                <w:szCs w:val="22"/>
                <w:lang w:bidi="ar"/>
              </w:rPr>
              <w:t>13</w:t>
            </w:r>
          </w:p>
        </w:tc>
        <w:tc>
          <w:tcPr>
            <w:tcW w:w="941" w:type="pct"/>
            <w:shd w:val="clear" w:color="auto" w:fill="auto"/>
            <w:vAlign w:val="center"/>
          </w:tcPr>
          <w:p>
            <w:pPr>
              <w:widowControl/>
              <w:spacing w:line="500" w:lineRule="atLeast"/>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第十一届中国大学生服务外包创新创业大赛创业实践类</w:t>
            </w:r>
          </w:p>
        </w:tc>
        <w:tc>
          <w:tcPr>
            <w:tcW w:w="1042" w:type="pct"/>
            <w:shd w:val="clear" w:color="auto" w:fill="auto"/>
            <w:vAlign w:val="center"/>
          </w:tcPr>
          <w:p>
            <w:pPr>
              <w:widowControl/>
              <w:spacing w:line="500" w:lineRule="atLeast"/>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一站式无人机飞防服务解决方案</w:t>
            </w:r>
          </w:p>
        </w:tc>
        <w:tc>
          <w:tcPr>
            <w:tcW w:w="373" w:type="pct"/>
            <w:shd w:val="clear" w:color="auto" w:fill="auto"/>
            <w:vAlign w:val="center"/>
          </w:tcPr>
          <w:p>
            <w:pPr>
              <w:widowControl/>
              <w:spacing w:line="500" w:lineRule="atLeast"/>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三等奖</w:t>
            </w:r>
          </w:p>
        </w:tc>
        <w:tc>
          <w:tcPr>
            <w:tcW w:w="1008" w:type="pct"/>
            <w:shd w:val="clear" w:color="auto" w:fill="auto"/>
            <w:vAlign w:val="center"/>
          </w:tcPr>
          <w:p>
            <w:pPr>
              <w:spacing w:line="500" w:lineRule="atLeast"/>
              <w:jc w:val="center"/>
              <w:rPr>
                <w:rFonts w:ascii="宋体" w:hAnsi="宋体" w:eastAsia="宋体" w:cs="宋体"/>
                <w:color w:val="000000"/>
                <w:szCs w:val="21"/>
              </w:rPr>
            </w:pPr>
            <w:r>
              <w:rPr>
                <w:rFonts w:hint="eastAsia" w:ascii="宋体" w:hAnsi="宋体" w:eastAsia="宋体" w:cs="宋体"/>
                <w:color w:val="000000"/>
                <w:szCs w:val="21"/>
              </w:rPr>
              <w:t>创业实践类三等奖</w:t>
            </w:r>
          </w:p>
        </w:tc>
        <w:tc>
          <w:tcPr>
            <w:tcW w:w="373" w:type="pct"/>
            <w:shd w:val="clear" w:color="auto" w:fill="auto"/>
            <w:vAlign w:val="center"/>
          </w:tcPr>
          <w:p>
            <w:pPr>
              <w:spacing w:line="500" w:lineRule="atLeast"/>
              <w:jc w:val="center"/>
              <w:rPr>
                <w:rFonts w:ascii="宋体" w:hAnsi="宋体" w:eastAsia="宋体" w:cs="宋体"/>
                <w:color w:val="000000"/>
                <w:szCs w:val="21"/>
              </w:rPr>
            </w:pPr>
            <w:r>
              <w:rPr>
                <w:rFonts w:hint="eastAsia" w:ascii="宋体" w:hAnsi="宋体" w:eastAsia="宋体" w:cs="宋体"/>
                <w:color w:val="000000"/>
                <w:szCs w:val="21"/>
              </w:rPr>
              <w:t>国家教育部、商务部、无锡市人民政府</w:t>
            </w:r>
          </w:p>
        </w:tc>
        <w:tc>
          <w:tcPr>
            <w:tcW w:w="558" w:type="pct"/>
            <w:shd w:val="clear" w:color="auto" w:fill="auto"/>
            <w:vAlign w:val="center"/>
          </w:tcPr>
          <w:p>
            <w:pPr>
              <w:widowControl/>
              <w:spacing w:line="500" w:lineRule="atLeast"/>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2020.08</w:t>
            </w:r>
          </w:p>
        </w:tc>
        <w:tc>
          <w:tcPr>
            <w:tcW w:w="447" w:type="pct"/>
            <w:shd w:val="clear" w:color="auto" w:fill="auto"/>
            <w:vAlign w:val="center"/>
          </w:tcPr>
          <w:p>
            <w:pPr>
              <w:widowControl/>
              <w:spacing w:line="500" w:lineRule="atLeast"/>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何均琳（第一）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trPr>
        <w:tc>
          <w:tcPr>
            <w:tcW w:w="255" w:type="pct"/>
            <w:shd w:val="clear" w:color="auto" w:fill="auto"/>
            <w:vAlign w:val="center"/>
          </w:tcPr>
          <w:p>
            <w:pPr>
              <w:widowControl/>
              <w:spacing w:line="500" w:lineRule="atLeast"/>
              <w:jc w:val="right"/>
              <w:textAlignment w:val="center"/>
              <w:rPr>
                <w:rFonts w:ascii="宋体" w:hAnsi="宋体" w:eastAsia="宋体" w:cs="宋体"/>
                <w:color w:val="000000"/>
                <w:szCs w:val="21"/>
              </w:rPr>
            </w:pPr>
            <w:r>
              <w:rPr>
                <w:rFonts w:hint="eastAsia" w:ascii="宋体" w:hAnsi="宋体" w:eastAsia="宋体" w:cs="宋体"/>
                <w:color w:val="000000"/>
                <w:kern w:val="0"/>
                <w:sz w:val="22"/>
                <w:szCs w:val="22"/>
                <w:lang w:bidi="ar"/>
              </w:rPr>
              <w:t>14</w:t>
            </w:r>
          </w:p>
        </w:tc>
        <w:tc>
          <w:tcPr>
            <w:tcW w:w="941" w:type="pct"/>
            <w:shd w:val="clear" w:color="auto" w:fill="auto"/>
            <w:vAlign w:val="center"/>
          </w:tcPr>
          <w:p>
            <w:pPr>
              <w:widowControl/>
              <w:spacing w:line="500" w:lineRule="atLeast"/>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第六届OCALE全国跨境电商创新创业能力大赛</w:t>
            </w:r>
          </w:p>
        </w:tc>
        <w:tc>
          <w:tcPr>
            <w:tcW w:w="1042" w:type="pct"/>
            <w:shd w:val="clear" w:color="auto" w:fill="auto"/>
            <w:vAlign w:val="center"/>
          </w:tcPr>
          <w:p>
            <w:pPr>
              <w:widowControl/>
              <w:spacing w:line="500" w:lineRule="atLeast"/>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指导老师三等奖</w:t>
            </w:r>
          </w:p>
        </w:tc>
        <w:tc>
          <w:tcPr>
            <w:tcW w:w="373" w:type="pct"/>
            <w:shd w:val="clear" w:color="auto" w:fill="auto"/>
            <w:vAlign w:val="center"/>
          </w:tcPr>
          <w:p>
            <w:pPr>
              <w:widowControl/>
              <w:spacing w:line="500" w:lineRule="atLeast"/>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三等奖</w:t>
            </w:r>
          </w:p>
        </w:tc>
        <w:tc>
          <w:tcPr>
            <w:tcW w:w="1008" w:type="pct"/>
            <w:shd w:val="clear" w:color="auto" w:fill="auto"/>
            <w:vAlign w:val="center"/>
          </w:tcPr>
          <w:p>
            <w:pPr>
              <w:widowControl/>
              <w:spacing w:line="500" w:lineRule="atLeast"/>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中国国际贸易学会、全国外经贸职业教育教学指导委员会</w:t>
            </w:r>
          </w:p>
        </w:tc>
        <w:tc>
          <w:tcPr>
            <w:tcW w:w="373" w:type="pct"/>
            <w:shd w:val="clear" w:color="auto" w:fill="auto"/>
            <w:vAlign w:val="center"/>
          </w:tcPr>
          <w:p>
            <w:pPr>
              <w:widowControl/>
              <w:spacing w:line="500" w:lineRule="atLeast"/>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学会</w:t>
            </w:r>
          </w:p>
        </w:tc>
        <w:tc>
          <w:tcPr>
            <w:tcW w:w="558" w:type="pct"/>
            <w:shd w:val="clear" w:color="auto" w:fill="auto"/>
            <w:vAlign w:val="center"/>
          </w:tcPr>
          <w:p>
            <w:pPr>
              <w:widowControl/>
              <w:spacing w:line="500" w:lineRule="atLeast"/>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2020.06</w:t>
            </w:r>
          </w:p>
        </w:tc>
        <w:tc>
          <w:tcPr>
            <w:tcW w:w="447" w:type="pct"/>
            <w:shd w:val="clear" w:color="auto" w:fill="auto"/>
            <w:vAlign w:val="center"/>
          </w:tcPr>
          <w:p>
            <w:pPr>
              <w:widowControl/>
              <w:spacing w:line="500" w:lineRule="atLeast"/>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石丽芳（第一）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5" w:hRule="atLeast"/>
        </w:trPr>
        <w:tc>
          <w:tcPr>
            <w:tcW w:w="255" w:type="pct"/>
            <w:shd w:val="clear" w:color="auto" w:fill="auto"/>
            <w:vAlign w:val="center"/>
          </w:tcPr>
          <w:p>
            <w:pPr>
              <w:widowControl/>
              <w:spacing w:line="500" w:lineRule="atLeast"/>
              <w:jc w:val="right"/>
              <w:textAlignment w:val="center"/>
              <w:rPr>
                <w:rFonts w:ascii="宋体" w:hAnsi="宋体" w:eastAsia="宋体" w:cs="宋体"/>
                <w:color w:val="000000"/>
                <w:szCs w:val="21"/>
              </w:rPr>
            </w:pPr>
            <w:r>
              <w:rPr>
                <w:rFonts w:hint="eastAsia" w:ascii="宋体" w:hAnsi="宋体" w:eastAsia="宋体" w:cs="宋体"/>
                <w:color w:val="000000"/>
                <w:kern w:val="0"/>
                <w:sz w:val="22"/>
                <w:szCs w:val="22"/>
                <w:lang w:bidi="ar"/>
              </w:rPr>
              <w:t>15</w:t>
            </w:r>
          </w:p>
        </w:tc>
        <w:tc>
          <w:tcPr>
            <w:tcW w:w="941" w:type="pct"/>
            <w:shd w:val="clear" w:color="auto" w:fill="auto"/>
            <w:vAlign w:val="center"/>
          </w:tcPr>
          <w:p>
            <w:pPr>
              <w:widowControl/>
              <w:spacing w:line="500" w:lineRule="atLeast"/>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第九届POCIB全国外贸职业能力从业大赛本科组三等奖</w:t>
            </w:r>
          </w:p>
        </w:tc>
        <w:tc>
          <w:tcPr>
            <w:tcW w:w="1042" w:type="pct"/>
            <w:shd w:val="clear" w:color="auto" w:fill="auto"/>
            <w:vAlign w:val="center"/>
          </w:tcPr>
          <w:p>
            <w:pPr>
              <w:widowControl/>
              <w:spacing w:line="500" w:lineRule="atLeast"/>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指导老师三等奖</w:t>
            </w:r>
          </w:p>
        </w:tc>
        <w:tc>
          <w:tcPr>
            <w:tcW w:w="373" w:type="pct"/>
            <w:shd w:val="clear" w:color="auto" w:fill="auto"/>
            <w:vAlign w:val="center"/>
          </w:tcPr>
          <w:p>
            <w:pPr>
              <w:widowControl/>
              <w:spacing w:line="500" w:lineRule="atLeast"/>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三等奖</w:t>
            </w:r>
          </w:p>
        </w:tc>
        <w:tc>
          <w:tcPr>
            <w:tcW w:w="1008" w:type="pct"/>
            <w:shd w:val="clear" w:color="auto" w:fill="auto"/>
            <w:vAlign w:val="center"/>
          </w:tcPr>
          <w:p>
            <w:pPr>
              <w:widowControl/>
              <w:spacing w:line="500" w:lineRule="atLeast"/>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中国国际贸易学会、全国外经贸职业教育教学指导委员会</w:t>
            </w:r>
          </w:p>
        </w:tc>
        <w:tc>
          <w:tcPr>
            <w:tcW w:w="373" w:type="pct"/>
            <w:shd w:val="clear" w:color="auto" w:fill="auto"/>
            <w:vAlign w:val="center"/>
          </w:tcPr>
          <w:p>
            <w:pPr>
              <w:widowControl/>
              <w:spacing w:line="500" w:lineRule="atLeast"/>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学会</w:t>
            </w:r>
          </w:p>
        </w:tc>
        <w:tc>
          <w:tcPr>
            <w:tcW w:w="558" w:type="pct"/>
            <w:shd w:val="clear" w:color="auto" w:fill="auto"/>
            <w:vAlign w:val="center"/>
          </w:tcPr>
          <w:p>
            <w:pPr>
              <w:widowControl/>
              <w:spacing w:line="500" w:lineRule="atLeast"/>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2020.06</w:t>
            </w:r>
          </w:p>
        </w:tc>
        <w:tc>
          <w:tcPr>
            <w:tcW w:w="447" w:type="pct"/>
            <w:shd w:val="clear" w:color="auto" w:fill="auto"/>
            <w:vAlign w:val="center"/>
          </w:tcPr>
          <w:p>
            <w:pPr>
              <w:widowControl/>
              <w:spacing w:line="500" w:lineRule="atLeast"/>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石丽芳（第一）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0" w:hRule="atLeast"/>
        </w:trPr>
        <w:tc>
          <w:tcPr>
            <w:tcW w:w="255" w:type="pct"/>
            <w:shd w:val="clear" w:color="auto" w:fill="auto"/>
            <w:vAlign w:val="center"/>
          </w:tcPr>
          <w:p>
            <w:pPr>
              <w:widowControl/>
              <w:spacing w:line="500" w:lineRule="atLeast"/>
              <w:jc w:val="right"/>
              <w:textAlignment w:val="center"/>
              <w:rPr>
                <w:rFonts w:ascii="宋体" w:hAnsi="宋体" w:eastAsia="宋体" w:cs="宋体"/>
                <w:color w:val="000000"/>
                <w:szCs w:val="21"/>
              </w:rPr>
            </w:pPr>
            <w:r>
              <w:rPr>
                <w:rFonts w:hint="eastAsia" w:ascii="宋体" w:hAnsi="宋体" w:eastAsia="宋体" w:cs="宋体"/>
                <w:color w:val="000000"/>
                <w:kern w:val="0"/>
                <w:sz w:val="22"/>
                <w:szCs w:val="22"/>
                <w:lang w:bidi="ar"/>
              </w:rPr>
              <w:t>16</w:t>
            </w:r>
          </w:p>
        </w:tc>
        <w:tc>
          <w:tcPr>
            <w:tcW w:w="941" w:type="pct"/>
            <w:shd w:val="clear" w:color="auto" w:fill="auto"/>
            <w:vAlign w:val="center"/>
          </w:tcPr>
          <w:p>
            <w:pPr>
              <w:widowControl/>
              <w:spacing w:line="500" w:lineRule="atLeast"/>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第二届全国林业草原行业创新创业大赛全国总决赛高校组——自选类优胜奖</w:t>
            </w:r>
          </w:p>
        </w:tc>
        <w:tc>
          <w:tcPr>
            <w:tcW w:w="1042" w:type="pct"/>
            <w:shd w:val="clear" w:color="auto" w:fill="auto"/>
            <w:vAlign w:val="center"/>
          </w:tcPr>
          <w:p>
            <w:pPr>
              <w:widowControl/>
              <w:spacing w:line="500" w:lineRule="atLeast"/>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蔚来使节——创新型数字乡村规划范围提供商</w:t>
            </w:r>
          </w:p>
        </w:tc>
        <w:tc>
          <w:tcPr>
            <w:tcW w:w="373" w:type="pct"/>
            <w:shd w:val="clear" w:color="auto" w:fill="auto"/>
            <w:vAlign w:val="center"/>
          </w:tcPr>
          <w:p>
            <w:pPr>
              <w:spacing w:line="500" w:lineRule="atLeast"/>
              <w:jc w:val="center"/>
              <w:rPr>
                <w:rFonts w:ascii="宋体" w:hAnsi="宋体" w:eastAsia="宋体" w:cs="宋体"/>
                <w:color w:val="000000"/>
                <w:szCs w:val="21"/>
              </w:rPr>
            </w:pPr>
            <w:r>
              <w:rPr>
                <w:rFonts w:hint="eastAsia" w:ascii="宋体" w:hAnsi="宋体" w:eastAsia="宋体" w:cs="宋体"/>
                <w:color w:val="000000"/>
                <w:szCs w:val="21"/>
              </w:rPr>
              <w:t>全国总决赛高校组——自选类优胜奖</w:t>
            </w:r>
          </w:p>
        </w:tc>
        <w:tc>
          <w:tcPr>
            <w:tcW w:w="1008" w:type="pct"/>
            <w:shd w:val="clear" w:color="auto" w:fill="auto"/>
            <w:vAlign w:val="center"/>
          </w:tcPr>
          <w:p>
            <w:pPr>
              <w:spacing w:line="500" w:lineRule="atLeast"/>
              <w:jc w:val="center"/>
              <w:rPr>
                <w:rFonts w:ascii="宋体" w:hAnsi="宋体" w:eastAsia="宋体" w:cs="宋体"/>
                <w:color w:val="000000"/>
                <w:szCs w:val="21"/>
              </w:rPr>
            </w:pPr>
            <w:r>
              <w:rPr>
                <w:rFonts w:hint="eastAsia" w:ascii="宋体" w:hAnsi="宋体" w:eastAsia="宋体" w:cs="宋体"/>
                <w:color w:val="000000"/>
                <w:szCs w:val="21"/>
              </w:rPr>
              <w:t>国家林业和草原局</w:t>
            </w:r>
          </w:p>
        </w:tc>
        <w:tc>
          <w:tcPr>
            <w:tcW w:w="373" w:type="pct"/>
            <w:shd w:val="clear" w:color="auto" w:fill="auto"/>
            <w:vAlign w:val="center"/>
          </w:tcPr>
          <w:p>
            <w:pPr>
              <w:spacing w:line="500" w:lineRule="atLeast"/>
              <w:jc w:val="center"/>
              <w:rPr>
                <w:rFonts w:ascii="宋体" w:hAnsi="宋体" w:eastAsia="宋体" w:cs="宋体"/>
                <w:color w:val="000000"/>
                <w:szCs w:val="21"/>
              </w:rPr>
            </w:pPr>
            <w:r>
              <w:rPr>
                <w:rFonts w:hint="eastAsia" w:ascii="宋体" w:hAnsi="宋体" w:eastAsia="宋体" w:cs="宋体"/>
                <w:color w:val="000000"/>
                <w:szCs w:val="21"/>
              </w:rPr>
              <w:t>政府</w:t>
            </w:r>
          </w:p>
        </w:tc>
        <w:tc>
          <w:tcPr>
            <w:tcW w:w="558" w:type="pct"/>
            <w:shd w:val="clear" w:color="auto" w:fill="auto"/>
            <w:vAlign w:val="center"/>
          </w:tcPr>
          <w:p>
            <w:pPr>
              <w:widowControl/>
              <w:spacing w:line="500" w:lineRule="atLeast"/>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2020.01</w:t>
            </w:r>
          </w:p>
        </w:tc>
        <w:tc>
          <w:tcPr>
            <w:tcW w:w="447" w:type="pct"/>
            <w:shd w:val="clear" w:color="auto" w:fill="auto"/>
            <w:vAlign w:val="center"/>
          </w:tcPr>
          <w:p>
            <w:pPr>
              <w:widowControl/>
              <w:spacing w:line="500" w:lineRule="atLeast"/>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何均琳（第一）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trPr>
        <w:tc>
          <w:tcPr>
            <w:tcW w:w="255" w:type="pct"/>
            <w:shd w:val="clear" w:color="auto" w:fill="auto"/>
            <w:vAlign w:val="center"/>
          </w:tcPr>
          <w:p>
            <w:pPr>
              <w:widowControl/>
              <w:spacing w:line="500" w:lineRule="atLeast"/>
              <w:jc w:val="right"/>
              <w:textAlignment w:val="center"/>
              <w:rPr>
                <w:rFonts w:ascii="宋体" w:hAnsi="宋体" w:eastAsia="宋体" w:cs="宋体"/>
                <w:color w:val="000000"/>
                <w:szCs w:val="21"/>
              </w:rPr>
            </w:pPr>
            <w:r>
              <w:rPr>
                <w:rFonts w:hint="eastAsia" w:ascii="宋体" w:hAnsi="宋体" w:eastAsia="宋体" w:cs="宋体"/>
                <w:color w:val="000000"/>
                <w:kern w:val="0"/>
                <w:sz w:val="22"/>
                <w:szCs w:val="22"/>
                <w:lang w:bidi="ar"/>
              </w:rPr>
              <w:t>17</w:t>
            </w:r>
          </w:p>
        </w:tc>
        <w:tc>
          <w:tcPr>
            <w:tcW w:w="941" w:type="pct"/>
            <w:shd w:val="clear" w:color="auto" w:fill="auto"/>
            <w:vAlign w:val="center"/>
          </w:tcPr>
          <w:p>
            <w:pPr>
              <w:widowControl/>
              <w:spacing w:line="500" w:lineRule="atLeast"/>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智慧教育之星</w:t>
            </w:r>
          </w:p>
        </w:tc>
        <w:tc>
          <w:tcPr>
            <w:tcW w:w="1042" w:type="pct"/>
            <w:shd w:val="clear" w:color="auto" w:fill="auto"/>
            <w:vAlign w:val="center"/>
          </w:tcPr>
          <w:p>
            <w:pPr>
              <w:widowControl/>
              <w:spacing w:line="500" w:lineRule="atLeast"/>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何均琳</w:t>
            </w:r>
          </w:p>
        </w:tc>
        <w:tc>
          <w:tcPr>
            <w:tcW w:w="373" w:type="pct"/>
            <w:shd w:val="clear" w:color="auto" w:fill="auto"/>
            <w:vAlign w:val="center"/>
          </w:tcPr>
          <w:p>
            <w:pPr>
              <w:spacing w:line="500" w:lineRule="atLeast"/>
              <w:jc w:val="center"/>
              <w:rPr>
                <w:rFonts w:ascii="宋体" w:hAnsi="宋体" w:eastAsia="宋体" w:cs="宋体"/>
                <w:color w:val="000000"/>
                <w:szCs w:val="21"/>
              </w:rPr>
            </w:pPr>
          </w:p>
        </w:tc>
        <w:tc>
          <w:tcPr>
            <w:tcW w:w="1008" w:type="pct"/>
            <w:shd w:val="clear" w:color="auto" w:fill="auto"/>
            <w:vAlign w:val="center"/>
          </w:tcPr>
          <w:p>
            <w:pPr>
              <w:widowControl/>
              <w:spacing w:line="500" w:lineRule="atLeast"/>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教育部在线教育研究中心</w:t>
            </w:r>
          </w:p>
        </w:tc>
        <w:tc>
          <w:tcPr>
            <w:tcW w:w="373" w:type="pct"/>
            <w:shd w:val="clear" w:color="auto" w:fill="auto"/>
            <w:vAlign w:val="center"/>
          </w:tcPr>
          <w:p>
            <w:pPr>
              <w:widowControl/>
              <w:spacing w:line="500" w:lineRule="atLeast"/>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政府</w:t>
            </w:r>
          </w:p>
        </w:tc>
        <w:tc>
          <w:tcPr>
            <w:tcW w:w="558" w:type="pct"/>
            <w:shd w:val="clear" w:color="auto" w:fill="auto"/>
            <w:vAlign w:val="center"/>
          </w:tcPr>
          <w:p>
            <w:pPr>
              <w:widowControl/>
              <w:spacing w:line="500" w:lineRule="atLeast"/>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2020.01</w:t>
            </w:r>
          </w:p>
        </w:tc>
        <w:tc>
          <w:tcPr>
            <w:tcW w:w="447" w:type="pct"/>
            <w:shd w:val="clear" w:color="auto" w:fill="auto"/>
            <w:vAlign w:val="center"/>
          </w:tcPr>
          <w:p>
            <w:pPr>
              <w:widowControl/>
              <w:spacing w:line="500" w:lineRule="atLeast"/>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何均琳（第一）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0" w:hRule="atLeast"/>
        </w:trPr>
        <w:tc>
          <w:tcPr>
            <w:tcW w:w="255" w:type="pct"/>
            <w:shd w:val="clear" w:color="auto" w:fill="auto"/>
            <w:vAlign w:val="center"/>
          </w:tcPr>
          <w:p>
            <w:pPr>
              <w:widowControl/>
              <w:spacing w:line="500" w:lineRule="atLeast"/>
              <w:jc w:val="right"/>
              <w:textAlignment w:val="center"/>
              <w:rPr>
                <w:rFonts w:ascii="宋体" w:hAnsi="宋体" w:eastAsia="宋体" w:cs="宋体"/>
                <w:color w:val="000000"/>
                <w:szCs w:val="21"/>
              </w:rPr>
            </w:pPr>
            <w:r>
              <w:rPr>
                <w:rFonts w:hint="eastAsia" w:ascii="宋体" w:hAnsi="宋体" w:eastAsia="宋体" w:cs="宋体"/>
                <w:color w:val="000000"/>
                <w:kern w:val="0"/>
                <w:sz w:val="22"/>
                <w:szCs w:val="22"/>
                <w:lang w:bidi="ar"/>
              </w:rPr>
              <w:t>18</w:t>
            </w:r>
          </w:p>
        </w:tc>
        <w:tc>
          <w:tcPr>
            <w:tcW w:w="941" w:type="pct"/>
            <w:shd w:val="clear" w:color="auto" w:fill="auto"/>
            <w:vAlign w:val="center"/>
          </w:tcPr>
          <w:p>
            <w:pPr>
              <w:widowControl/>
              <w:spacing w:line="500" w:lineRule="atLeast"/>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2020年福建农林大学课程思政优秀教学案例</w:t>
            </w:r>
          </w:p>
        </w:tc>
        <w:tc>
          <w:tcPr>
            <w:tcW w:w="1042" w:type="pct"/>
            <w:shd w:val="clear" w:color="auto" w:fill="auto"/>
            <w:vAlign w:val="center"/>
          </w:tcPr>
          <w:p>
            <w:pPr>
              <w:widowControl/>
              <w:spacing w:line="500" w:lineRule="atLeast"/>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贸易不是零和游戏——从比较优势论看中美贸易战</w:t>
            </w:r>
          </w:p>
        </w:tc>
        <w:tc>
          <w:tcPr>
            <w:tcW w:w="373" w:type="pct"/>
            <w:shd w:val="clear" w:color="auto" w:fill="auto"/>
            <w:vAlign w:val="center"/>
          </w:tcPr>
          <w:p>
            <w:pPr>
              <w:spacing w:line="500" w:lineRule="atLeast"/>
              <w:jc w:val="center"/>
              <w:rPr>
                <w:rFonts w:ascii="宋体" w:hAnsi="宋体" w:eastAsia="宋体" w:cs="宋体"/>
                <w:color w:val="000000"/>
                <w:szCs w:val="21"/>
              </w:rPr>
            </w:pPr>
          </w:p>
        </w:tc>
        <w:tc>
          <w:tcPr>
            <w:tcW w:w="1008" w:type="pct"/>
            <w:shd w:val="clear" w:color="auto" w:fill="auto"/>
            <w:vAlign w:val="center"/>
          </w:tcPr>
          <w:p>
            <w:pPr>
              <w:spacing w:line="500" w:lineRule="atLeast"/>
              <w:jc w:val="center"/>
              <w:rPr>
                <w:rFonts w:ascii="宋体" w:hAnsi="宋体" w:eastAsia="宋体" w:cs="宋体"/>
                <w:color w:val="000000"/>
                <w:szCs w:val="21"/>
              </w:rPr>
            </w:pPr>
            <w:r>
              <w:rPr>
                <w:rFonts w:hint="eastAsia" w:ascii="宋体" w:hAnsi="宋体" w:eastAsia="宋体" w:cs="宋体"/>
                <w:color w:val="000000"/>
                <w:szCs w:val="21"/>
              </w:rPr>
              <w:t>福建农林大学</w:t>
            </w:r>
          </w:p>
        </w:tc>
        <w:tc>
          <w:tcPr>
            <w:tcW w:w="373" w:type="pct"/>
            <w:shd w:val="clear" w:color="auto" w:fill="auto"/>
            <w:vAlign w:val="center"/>
          </w:tcPr>
          <w:p>
            <w:pPr>
              <w:spacing w:line="500" w:lineRule="atLeast"/>
              <w:rPr>
                <w:rFonts w:ascii="宋体" w:hAnsi="宋体" w:eastAsia="宋体" w:cs="宋体"/>
                <w:color w:val="000000"/>
                <w:szCs w:val="21"/>
              </w:rPr>
            </w:pPr>
            <w:r>
              <w:rPr>
                <w:rFonts w:hint="eastAsia" w:ascii="宋体" w:hAnsi="宋体" w:eastAsia="宋体" w:cs="宋体"/>
                <w:color w:val="000000"/>
                <w:szCs w:val="21"/>
              </w:rPr>
              <w:t>其他</w:t>
            </w:r>
          </w:p>
        </w:tc>
        <w:tc>
          <w:tcPr>
            <w:tcW w:w="558" w:type="pct"/>
            <w:shd w:val="clear" w:color="auto" w:fill="auto"/>
            <w:vAlign w:val="center"/>
          </w:tcPr>
          <w:p>
            <w:pPr>
              <w:widowControl/>
              <w:spacing w:line="500" w:lineRule="atLeast"/>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2020.06</w:t>
            </w:r>
          </w:p>
        </w:tc>
        <w:tc>
          <w:tcPr>
            <w:tcW w:w="447" w:type="pct"/>
            <w:shd w:val="clear" w:color="auto" w:fill="auto"/>
            <w:vAlign w:val="center"/>
          </w:tcPr>
          <w:p>
            <w:pPr>
              <w:widowControl/>
              <w:spacing w:line="500" w:lineRule="atLeast"/>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何均琳（第一）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0" w:hRule="atLeast"/>
        </w:trPr>
        <w:tc>
          <w:tcPr>
            <w:tcW w:w="255" w:type="pct"/>
            <w:shd w:val="clear" w:color="auto" w:fill="auto"/>
            <w:vAlign w:val="center"/>
          </w:tcPr>
          <w:p>
            <w:pPr>
              <w:widowControl/>
              <w:spacing w:line="500" w:lineRule="atLeast"/>
              <w:jc w:val="right"/>
              <w:textAlignment w:val="center"/>
              <w:rPr>
                <w:rFonts w:ascii="宋体" w:hAnsi="宋体" w:eastAsia="宋体" w:cs="宋体"/>
                <w:color w:val="000000"/>
                <w:szCs w:val="21"/>
              </w:rPr>
            </w:pPr>
            <w:r>
              <w:rPr>
                <w:rFonts w:hint="eastAsia" w:ascii="宋体" w:hAnsi="宋体" w:eastAsia="宋体" w:cs="宋体"/>
                <w:color w:val="000000"/>
                <w:szCs w:val="21"/>
              </w:rPr>
              <w:t>19</w:t>
            </w:r>
          </w:p>
        </w:tc>
        <w:tc>
          <w:tcPr>
            <w:tcW w:w="941" w:type="pct"/>
            <w:shd w:val="clear" w:color="auto" w:fill="auto"/>
            <w:vAlign w:val="center"/>
          </w:tcPr>
          <w:p>
            <w:pPr>
              <w:widowControl/>
              <w:spacing w:line="500" w:lineRule="atLeast"/>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2020年福建农林大学课程思政优秀教学案例</w:t>
            </w:r>
          </w:p>
        </w:tc>
        <w:tc>
          <w:tcPr>
            <w:tcW w:w="1042" w:type="pct"/>
            <w:shd w:val="clear" w:color="auto" w:fill="auto"/>
            <w:vAlign w:val="center"/>
          </w:tcPr>
          <w:p>
            <w:pPr>
              <w:widowControl/>
              <w:spacing w:line="500" w:lineRule="atLeast"/>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美国的农产品贸易政策不是民主决策的结果</w:t>
            </w:r>
          </w:p>
        </w:tc>
        <w:tc>
          <w:tcPr>
            <w:tcW w:w="373" w:type="pct"/>
            <w:shd w:val="clear" w:color="auto" w:fill="auto"/>
            <w:vAlign w:val="center"/>
          </w:tcPr>
          <w:p>
            <w:pPr>
              <w:spacing w:line="500" w:lineRule="atLeast"/>
              <w:jc w:val="center"/>
              <w:rPr>
                <w:rFonts w:ascii="宋体" w:hAnsi="宋体" w:eastAsia="宋体" w:cs="宋体"/>
                <w:color w:val="000000"/>
                <w:szCs w:val="21"/>
              </w:rPr>
            </w:pPr>
          </w:p>
        </w:tc>
        <w:tc>
          <w:tcPr>
            <w:tcW w:w="1008" w:type="pct"/>
            <w:shd w:val="clear" w:color="auto" w:fill="auto"/>
            <w:vAlign w:val="center"/>
          </w:tcPr>
          <w:p>
            <w:pPr>
              <w:spacing w:line="500" w:lineRule="atLeast"/>
              <w:jc w:val="center"/>
              <w:rPr>
                <w:rFonts w:ascii="宋体" w:hAnsi="宋体" w:eastAsia="宋体" w:cs="宋体"/>
                <w:color w:val="000000"/>
                <w:szCs w:val="21"/>
              </w:rPr>
            </w:pPr>
            <w:r>
              <w:rPr>
                <w:rFonts w:hint="eastAsia" w:ascii="宋体" w:hAnsi="宋体" w:eastAsia="宋体" w:cs="宋体"/>
                <w:color w:val="000000"/>
                <w:szCs w:val="21"/>
              </w:rPr>
              <w:t>福建农林大学</w:t>
            </w:r>
          </w:p>
        </w:tc>
        <w:tc>
          <w:tcPr>
            <w:tcW w:w="373" w:type="pct"/>
            <w:shd w:val="clear" w:color="auto" w:fill="auto"/>
            <w:vAlign w:val="center"/>
          </w:tcPr>
          <w:p>
            <w:pPr>
              <w:spacing w:line="500" w:lineRule="atLeast"/>
              <w:jc w:val="center"/>
              <w:rPr>
                <w:rFonts w:ascii="宋体" w:hAnsi="宋体" w:eastAsia="宋体" w:cs="宋体"/>
                <w:color w:val="000000"/>
                <w:szCs w:val="21"/>
              </w:rPr>
            </w:pPr>
            <w:r>
              <w:rPr>
                <w:rFonts w:hint="eastAsia" w:ascii="宋体" w:hAnsi="宋体" w:eastAsia="宋体" w:cs="宋体"/>
                <w:color w:val="000000"/>
                <w:szCs w:val="21"/>
              </w:rPr>
              <w:t>其他</w:t>
            </w:r>
          </w:p>
        </w:tc>
        <w:tc>
          <w:tcPr>
            <w:tcW w:w="558" w:type="pct"/>
            <w:shd w:val="clear" w:color="auto" w:fill="auto"/>
            <w:vAlign w:val="center"/>
          </w:tcPr>
          <w:p>
            <w:pPr>
              <w:widowControl/>
              <w:spacing w:line="500" w:lineRule="atLeast"/>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2020.06</w:t>
            </w:r>
          </w:p>
        </w:tc>
        <w:tc>
          <w:tcPr>
            <w:tcW w:w="447" w:type="pct"/>
            <w:shd w:val="clear" w:color="auto" w:fill="auto"/>
            <w:vAlign w:val="center"/>
          </w:tcPr>
          <w:p>
            <w:pPr>
              <w:widowControl/>
              <w:spacing w:line="500" w:lineRule="atLeast"/>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何均琳（第一）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0" w:hRule="atLeast"/>
        </w:trPr>
        <w:tc>
          <w:tcPr>
            <w:tcW w:w="255" w:type="pct"/>
            <w:shd w:val="clear" w:color="auto" w:fill="auto"/>
            <w:vAlign w:val="center"/>
          </w:tcPr>
          <w:p>
            <w:pPr>
              <w:widowControl/>
              <w:spacing w:line="500" w:lineRule="atLeast"/>
              <w:jc w:val="righ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20</w:t>
            </w:r>
          </w:p>
        </w:tc>
        <w:tc>
          <w:tcPr>
            <w:tcW w:w="941" w:type="pct"/>
            <w:shd w:val="clear" w:color="auto" w:fill="auto"/>
            <w:vAlign w:val="center"/>
          </w:tcPr>
          <w:p>
            <w:pPr>
              <w:widowControl/>
              <w:spacing w:line="500" w:lineRule="atLeast"/>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中国金色开放</w:t>
            </w:r>
          </w:p>
          <w:p>
            <w:pPr>
              <w:widowControl/>
              <w:spacing w:line="500" w:lineRule="atLeast"/>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获取高下载论文学者</w:t>
            </w:r>
          </w:p>
        </w:tc>
        <w:tc>
          <w:tcPr>
            <w:tcW w:w="1042" w:type="pct"/>
            <w:shd w:val="clear" w:color="auto" w:fill="auto"/>
            <w:vAlign w:val="center"/>
          </w:tcPr>
          <w:p>
            <w:pPr>
              <w:widowControl/>
              <w:spacing w:line="500" w:lineRule="atLeast"/>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 xml:space="preserve">Impact of the </w:t>
            </w:r>
          </w:p>
          <w:p>
            <w:pPr>
              <w:widowControl/>
              <w:spacing w:line="500" w:lineRule="atLeast"/>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COVID-19 pandemic on agricultural exports</w:t>
            </w:r>
          </w:p>
        </w:tc>
        <w:tc>
          <w:tcPr>
            <w:tcW w:w="373" w:type="pct"/>
            <w:shd w:val="clear" w:color="auto" w:fill="auto"/>
            <w:vAlign w:val="center"/>
          </w:tcPr>
          <w:p>
            <w:pPr>
              <w:spacing w:line="500" w:lineRule="atLeast"/>
              <w:jc w:val="center"/>
              <w:rPr>
                <w:rFonts w:ascii="宋体" w:hAnsi="宋体" w:eastAsia="宋体" w:cs="宋体"/>
                <w:color w:val="000000"/>
                <w:szCs w:val="21"/>
              </w:rPr>
            </w:pPr>
            <w:r>
              <w:rPr>
                <w:rFonts w:hint="eastAsia" w:ascii="宋体" w:hAnsi="宋体" w:eastAsia="宋体" w:cs="宋体"/>
                <w:color w:val="000000"/>
                <w:szCs w:val="21"/>
              </w:rPr>
              <w:t>优秀奖</w:t>
            </w:r>
          </w:p>
        </w:tc>
        <w:tc>
          <w:tcPr>
            <w:tcW w:w="1008" w:type="pct"/>
            <w:shd w:val="clear" w:color="auto" w:fill="auto"/>
            <w:vAlign w:val="center"/>
          </w:tcPr>
          <w:p>
            <w:pPr>
              <w:spacing w:line="500" w:lineRule="atLeast"/>
              <w:jc w:val="center"/>
              <w:rPr>
                <w:rFonts w:ascii="宋体" w:hAnsi="宋体" w:eastAsia="宋体" w:cs="宋体"/>
                <w:color w:val="000000"/>
                <w:szCs w:val="21"/>
              </w:rPr>
            </w:pPr>
            <w:r>
              <w:rPr>
                <w:rFonts w:hint="eastAsia" w:ascii="宋体" w:hAnsi="宋体" w:eastAsia="宋体" w:cs="宋体"/>
                <w:color w:val="000000"/>
                <w:szCs w:val="21"/>
              </w:rPr>
              <w:t>爱思唯尔Elsevier</w:t>
            </w:r>
          </w:p>
        </w:tc>
        <w:tc>
          <w:tcPr>
            <w:tcW w:w="373" w:type="pct"/>
            <w:shd w:val="clear" w:color="auto" w:fill="auto"/>
            <w:vAlign w:val="center"/>
          </w:tcPr>
          <w:p>
            <w:pPr>
              <w:spacing w:line="500" w:lineRule="atLeast"/>
              <w:jc w:val="center"/>
              <w:rPr>
                <w:rFonts w:ascii="宋体" w:hAnsi="宋体" w:eastAsia="宋体" w:cs="宋体"/>
                <w:color w:val="000000"/>
                <w:szCs w:val="21"/>
              </w:rPr>
            </w:pPr>
            <w:r>
              <w:rPr>
                <w:rFonts w:hint="eastAsia" w:ascii="宋体" w:hAnsi="宋体" w:eastAsia="宋体" w:cs="宋体"/>
                <w:color w:val="000000"/>
                <w:szCs w:val="21"/>
              </w:rPr>
              <w:t>其他</w:t>
            </w:r>
          </w:p>
        </w:tc>
        <w:tc>
          <w:tcPr>
            <w:tcW w:w="558" w:type="pct"/>
            <w:shd w:val="clear" w:color="auto" w:fill="auto"/>
            <w:vAlign w:val="center"/>
          </w:tcPr>
          <w:p>
            <w:pPr>
              <w:widowControl/>
              <w:spacing w:line="500" w:lineRule="atLeast"/>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2020.12</w:t>
            </w:r>
          </w:p>
        </w:tc>
        <w:tc>
          <w:tcPr>
            <w:tcW w:w="447" w:type="pct"/>
            <w:shd w:val="clear" w:color="auto" w:fill="auto"/>
            <w:vAlign w:val="center"/>
          </w:tcPr>
          <w:p>
            <w:pPr>
              <w:widowControl/>
              <w:spacing w:line="500" w:lineRule="atLeast"/>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林本喜（第一）</w:t>
            </w:r>
          </w:p>
        </w:tc>
      </w:tr>
    </w:tbl>
    <w:p>
      <w:pPr>
        <w:spacing w:line="500" w:lineRule="atLeast"/>
        <w:rPr>
          <w:rFonts w:ascii="宋体" w:hAnsi="宋体" w:eastAsia="宋体"/>
          <w:sz w:val="24"/>
        </w:rPr>
      </w:pPr>
    </w:p>
    <w:p>
      <w:pPr>
        <w:pStyle w:val="16"/>
        <w:spacing w:line="500" w:lineRule="atLeast"/>
        <w:ind w:firstLine="640"/>
        <w:rPr>
          <w:rFonts w:ascii="仿宋" w:hAnsi="仿宋" w:eastAsia="仿宋" w:cs="仿宋"/>
          <w:sz w:val="32"/>
          <w:szCs w:val="32"/>
        </w:rPr>
      </w:pPr>
      <w:r>
        <w:rPr>
          <w:rFonts w:hint="eastAsia" w:ascii="仿宋" w:hAnsi="仿宋" w:eastAsia="仿宋" w:cs="仿宋"/>
          <w:sz w:val="32"/>
          <w:szCs w:val="32"/>
        </w:rPr>
        <w:t>5.导师管理</w:t>
      </w:r>
    </w:p>
    <w:p>
      <w:pPr>
        <w:spacing w:line="500" w:lineRule="atLeast"/>
        <w:ind w:firstLine="425"/>
        <w:rPr>
          <w:rFonts w:ascii="宋体" w:hAnsi="宋体" w:eastAsia="宋体"/>
          <w:b/>
          <w:bCs/>
          <w:sz w:val="24"/>
        </w:rPr>
      </w:pPr>
      <w:r>
        <w:rPr>
          <w:rFonts w:hint="eastAsia" w:ascii="宋体" w:hAnsi="宋体" w:eastAsia="宋体"/>
          <w:b/>
          <w:bCs/>
          <w:sz w:val="24"/>
        </w:rPr>
        <w:t>（1）管理措施</w:t>
      </w:r>
    </w:p>
    <w:p>
      <w:pPr>
        <w:spacing w:line="500" w:lineRule="atLeast"/>
        <w:ind w:firstLine="425"/>
        <w:rPr>
          <w:rFonts w:ascii="宋体" w:hAnsi="宋体" w:eastAsia="宋体"/>
          <w:sz w:val="24"/>
        </w:rPr>
      </w:pPr>
      <w:r>
        <w:rPr>
          <w:rFonts w:hint="eastAsia" w:ascii="宋体" w:hAnsi="宋体" w:eastAsia="宋体"/>
          <w:sz w:val="24"/>
        </w:rPr>
        <w:t>①实行导师负责制。导师是研究生培养质量的首要责任人。导师邀请2-3名校内外副高级以上职称的专家或具有博士学位的本学科或相关学科专家组成指导小组，负责制订和调整研究生个人学习计划，组织读书报告和开题报告，指导学生参与课题研究，撰写学术论文和学位论文等。</w:t>
      </w:r>
    </w:p>
    <w:p>
      <w:pPr>
        <w:spacing w:line="500" w:lineRule="atLeast"/>
        <w:ind w:firstLine="425"/>
        <w:rPr>
          <w:rFonts w:ascii="宋体" w:hAnsi="宋体" w:eastAsia="宋体"/>
          <w:sz w:val="24"/>
        </w:rPr>
      </w:pPr>
      <w:r>
        <w:rPr>
          <w:rFonts w:hint="eastAsia" w:ascii="宋体" w:hAnsi="宋体" w:eastAsia="宋体"/>
          <w:sz w:val="24"/>
        </w:rPr>
        <w:t>②实行年度招生资格认定。认真落实《福建农林大学研究生指导教师招生资格认定与管理办法（试行）》，对导师的任职条件、认定程序、招生管理、培养管理进行明确规定，每年对导师进行招生资格认定。在各级学位论文抽检中，有1位专家评议意见为“不合格”的学位论文，在一定范围内进行通报；被认定为“存在问题的硕士学位论文”，其导师暂停1年的硕士生招生资格。</w:t>
      </w:r>
    </w:p>
    <w:p>
      <w:pPr>
        <w:spacing w:line="500" w:lineRule="atLeast"/>
        <w:ind w:firstLine="425"/>
        <w:rPr>
          <w:rFonts w:ascii="宋体" w:hAnsi="宋体" w:eastAsia="宋体"/>
          <w:b/>
          <w:bCs/>
          <w:sz w:val="24"/>
        </w:rPr>
      </w:pPr>
      <w:r>
        <w:rPr>
          <w:rFonts w:hint="eastAsia" w:ascii="宋体" w:hAnsi="宋体" w:eastAsia="宋体"/>
          <w:b/>
          <w:bCs/>
          <w:sz w:val="24"/>
        </w:rPr>
        <w:t>（</w:t>
      </w:r>
      <w:r>
        <w:rPr>
          <w:rFonts w:ascii="宋体" w:hAnsi="宋体" w:eastAsia="宋体"/>
          <w:b/>
          <w:bCs/>
          <w:sz w:val="24"/>
        </w:rPr>
        <w:t>2</w:t>
      </w:r>
      <w:r>
        <w:rPr>
          <w:rFonts w:hint="eastAsia" w:ascii="宋体" w:hAnsi="宋体" w:eastAsia="宋体"/>
          <w:b/>
          <w:bCs/>
          <w:sz w:val="24"/>
        </w:rPr>
        <w:t>）导师培训</w:t>
      </w:r>
    </w:p>
    <w:p>
      <w:pPr>
        <w:spacing w:line="500" w:lineRule="atLeast"/>
        <w:ind w:firstLine="425"/>
        <w:rPr>
          <w:rFonts w:ascii="宋体" w:hAnsi="宋体" w:eastAsia="宋体"/>
          <w:sz w:val="24"/>
        </w:rPr>
      </w:pPr>
      <w:r>
        <w:rPr>
          <w:rFonts w:hint="eastAsia" w:ascii="宋体" w:hAnsi="宋体" w:eastAsia="宋体"/>
          <w:sz w:val="24"/>
        </w:rPr>
        <w:t>注重研究生导师的培养能力提升，组织研究生导师参加兄弟院校之间、校级、院级研究生导师培训。</w:t>
      </w:r>
    </w:p>
    <w:p>
      <w:pPr>
        <w:spacing w:line="500" w:lineRule="atLeast"/>
        <w:ind w:firstLine="425"/>
        <w:jc w:val="center"/>
        <w:rPr>
          <w:rFonts w:ascii="宋体" w:hAnsi="宋体" w:eastAsia="宋体"/>
          <w:b/>
          <w:bCs/>
          <w:sz w:val="24"/>
        </w:rPr>
      </w:pPr>
      <w:bookmarkStart w:id="6" w:name="OLE_LINK34"/>
      <w:bookmarkStart w:id="7" w:name="OLE_LINK33"/>
      <w:r>
        <w:rPr>
          <w:rFonts w:hint="eastAsia" w:ascii="宋体" w:hAnsi="宋体" w:eastAsia="宋体"/>
          <w:b/>
          <w:bCs/>
          <w:sz w:val="24"/>
        </w:rPr>
        <w:t>表</w:t>
      </w:r>
      <w:r>
        <w:rPr>
          <w:rFonts w:ascii="宋体" w:hAnsi="宋体" w:eastAsia="宋体"/>
          <w:b/>
          <w:bCs/>
          <w:sz w:val="24"/>
        </w:rPr>
        <w:t>7</w:t>
      </w:r>
      <w:r>
        <w:rPr>
          <w:rFonts w:hint="eastAsia" w:ascii="宋体" w:hAnsi="宋体" w:eastAsia="宋体"/>
          <w:b/>
          <w:bCs/>
          <w:sz w:val="24"/>
        </w:rPr>
        <w:t xml:space="preserve"> 2</w:t>
      </w:r>
      <w:r>
        <w:rPr>
          <w:rFonts w:ascii="宋体" w:hAnsi="宋体" w:eastAsia="宋体"/>
          <w:b/>
          <w:bCs/>
          <w:sz w:val="24"/>
        </w:rPr>
        <w:t>020</w:t>
      </w:r>
      <w:r>
        <w:rPr>
          <w:rFonts w:hint="eastAsia" w:ascii="宋体" w:hAnsi="宋体" w:eastAsia="宋体"/>
          <w:b/>
          <w:bCs/>
          <w:sz w:val="24"/>
        </w:rPr>
        <w:t>年度本学位点导师培训情况</w:t>
      </w:r>
    </w:p>
    <w:bookmarkEnd w:id="6"/>
    <w:bookmarkEnd w:id="7"/>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3"/>
        <w:gridCol w:w="3446"/>
        <w:gridCol w:w="1592"/>
        <w:gridCol w:w="756"/>
        <w:gridCol w:w="21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3" w:type="pct"/>
            <w:vAlign w:val="center"/>
          </w:tcPr>
          <w:p>
            <w:pPr>
              <w:widowControl/>
              <w:spacing w:line="500" w:lineRule="atLeast"/>
              <w:jc w:val="center"/>
              <w:textAlignment w:val="center"/>
              <w:rPr>
                <w:rFonts w:ascii="宋体" w:hAnsi="宋体" w:eastAsia="宋体" w:cs="Times New Roman"/>
                <w:kern w:val="0"/>
                <w:szCs w:val="21"/>
              </w:rPr>
            </w:pPr>
            <w:r>
              <w:rPr>
                <w:rFonts w:ascii="宋体" w:hAnsi="宋体" w:eastAsia="宋体" w:cs="方正仿宋简体"/>
                <w:color w:val="000000"/>
                <w:kern w:val="0"/>
                <w:szCs w:val="21"/>
                <w:lang w:bidi="ar"/>
              </w:rPr>
              <w:t>序号</w:t>
            </w:r>
          </w:p>
        </w:tc>
        <w:tc>
          <w:tcPr>
            <w:tcW w:w="2020" w:type="pct"/>
            <w:vAlign w:val="center"/>
          </w:tcPr>
          <w:p>
            <w:pPr>
              <w:widowControl/>
              <w:spacing w:line="500" w:lineRule="atLeast"/>
              <w:jc w:val="center"/>
              <w:textAlignment w:val="center"/>
              <w:rPr>
                <w:rFonts w:ascii="宋体" w:hAnsi="宋体" w:eastAsia="宋体" w:cs="Times New Roman"/>
                <w:kern w:val="0"/>
                <w:szCs w:val="21"/>
              </w:rPr>
            </w:pPr>
            <w:r>
              <w:rPr>
                <w:rFonts w:ascii="宋体" w:hAnsi="宋体" w:eastAsia="宋体" w:cs="方正仿宋简体"/>
                <w:color w:val="000000"/>
                <w:kern w:val="0"/>
                <w:szCs w:val="21"/>
                <w:lang w:bidi="ar"/>
              </w:rPr>
              <w:t>培训主题</w:t>
            </w:r>
          </w:p>
        </w:tc>
        <w:tc>
          <w:tcPr>
            <w:tcW w:w="933" w:type="pct"/>
            <w:vAlign w:val="center"/>
          </w:tcPr>
          <w:p>
            <w:pPr>
              <w:widowControl/>
              <w:spacing w:line="500" w:lineRule="atLeast"/>
              <w:jc w:val="center"/>
              <w:textAlignment w:val="center"/>
              <w:rPr>
                <w:rFonts w:ascii="宋体" w:hAnsi="宋体" w:eastAsia="宋体" w:cs="Times New Roman"/>
                <w:kern w:val="0"/>
                <w:szCs w:val="21"/>
              </w:rPr>
            </w:pPr>
            <w:r>
              <w:rPr>
                <w:rFonts w:ascii="宋体" w:hAnsi="宋体" w:eastAsia="宋体" w:cs="方正仿宋简体"/>
                <w:color w:val="000000"/>
                <w:kern w:val="0"/>
                <w:szCs w:val="21"/>
                <w:lang w:bidi="ar"/>
              </w:rPr>
              <w:t>培训时间</w:t>
            </w:r>
          </w:p>
        </w:tc>
        <w:tc>
          <w:tcPr>
            <w:tcW w:w="443" w:type="pct"/>
            <w:vAlign w:val="center"/>
          </w:tcPr>
          <w:p>
            <w:pPr>
              <w:widowControl/>
              <w:spacing w:line="500" w:lineRule="atLeast"/>
              <w:jc w:val="center"/>
              <w:textAlignment w:val="center"/>
              <w:rPr>
                <w:rFonts w:ascii="宋体" w:hAnsi="宋体" w:eastAsia="宋体" w:cs="Times New Roman"/>
                <w:kern w:val="0"/>
                <w:szCs w:val="21"/>
              </w:rPr>
            </w:pPr>
            <w:r>
              <w:rPr>
                <w:rFonts w:ascii="宋体" w:hAnsi="宋体" w:eastAsia="宋体" w:cs="方正仿宋简体"/>
                <w:color w:val="000000"/>
                <w:kern w:val="0"/>
                <w:szCs w:val="21"/>
                <w:lang w:bidi="ar"/>
              </w:rPr>
              <w:t>培训人次</w:t>
            </w:r>
          </w:p>
        </w:tc>
        <w:tc>
          <w:tcPr>
            <w:tcW w:w="1289" w:type="pct"/>
            <w:vAlign w:val="center"/>
          </w:tcPr>
          <w:p>
            <w:pPr>
              <w:widowControl/>
              <w:spacing w:line="500" w:lineRule="atLeast"/>
              <w:jc w:val="center"/>
              <w:textAlignment w:val="center"/>
              <w:rPr>
                <w:rFonts w:ascii="宋体" w:hAnsi="宋体" w:eastAsia="宋体" w:cs="Times New Roman"/>
                <w:kern w:val="0"/>
                <w:szCs w:val="21"/>
              </w:rPr>
            </w:pPr>
            <w:r>
              <w:rPr>
                <w:rFonts w:ascii="宋体" w:hAnsi="宋体" w:eastAsia="宋体" w:cs="方正仿宋简体"/>
                <w:color w:val="000000"/>
                <w:kern w:val="0"/>
                <w:szCs w:val="21"/>
                <w:lang w:bidi="ar"/>
              </w:rPr>
              <w:t>主办单位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3" w:type="pct"/>
            <w:vAlign w:val="center"/>
          </w:tcPr>
          <w:p>
            <w:pPr>
              <w:adjustRightInd w:val="0"/>
              <w:snapToGrid w:val="0"/>
              <w:spacing w:line="500" w:lineRule="atLeast"/>
              <w:jc w:val="center"/>
              <w:rPr>
                <w:rFonts w:ascii="宋体" w:hAnsi="宋体" w:eastAsia="宋体" w:cs="宋体"/>
                <w:color w:val="000000"/>
                <w:kern w:val="0"/>
                <w:szCs w:val="21"/>
                <w:lang w:bidi="ar"/>
              </w:rPr>
            </w:pPr>
            <w:r>
              <w:rPr>
                <w:rFonts w:hint="eastAsia" w:ascii="宋体" w:hAnsi="宋体" w:eastAsia="宋体" w:cs="宋体"/>
                <w:color w:val="000000"/>
                <w:szCs w:val="21"/>
              </w:rPr>
              <w:t>1</w:t>
            </w:r>
          </w:p>
        </w:tc>
        <w:tc>
          <w:tcPr>
            <w:tcW w:w="2020" w:type="pct"/>
            <w:vAlign w:val="center"/>
          </w:tcPr>
          <w:p>
            <w:pPr>
              <w:adjustRightInd w:val="0"/>
              <w:snapToGrid w:val="0"/>
              <w:spacing w:line="500" w:lineRule="atLeast"/>
              <w:jc w:val="center"/>
              <w:rPr>
                <w:rFonts w:ascii="宋体" w:hAnsi="宋体" w:eastAsia="宋体" w:cs="宋体"/>
                <w:color w:val="000000"/>
                <w:kern w:val="0"/>
                <w:szCs w:val="21"/>
                <w:lang w:bidi="ar"/>
              </w:rPr>
            </w:pPr>
            <w:r>
              <w:rPr>
                <w:rFonts w:hint="eastAsia" w:ascii="宋体" w:hAnsi="宋体" w:eastAsia="宋体" w:cs="宋体"/>
                <w:color w:val="000000"/>
                <w:szCs w:val="21"/>
              </w:rPr>
              <w:t>教师教学发展系列活动（155期）——“课程思政”教学工作坊</w:t>
            </w:r>
          </w:p>
        </w:tc>
        <w:tc>
          <w:tcPr>
            <w:tcW w:w="933" w:type="pct"/>
            <w:vAlign w:val="center"/>
          </w:tcPr>
          <w:p>
            <w:pPr>
              <w:adjustRightInd w:val="0"/>
              <w:snapToGrid w:val="0"/>
              <w:spacing w:line="500" w:lineRule="atLeast"/>
              <w:jc w:val="center"/>
              <w:rPr>
                <w:rFonts w:ascii="宋体" w:hAnsi="宋体" w:eastAsia="宋体" w:cs="宋体"/>
                <w:color w:val="000000"/>
                <w:kern w:val="0"/>
                <w:szCs w:val="21"/>
                <w:lang w:bidi="ar"/>
              </w:rPr>
            </w:pPr>
            <w:r>
              <w:rPr>
                <w:rFonts w:hint="eastAsia" w:ascii="宋体" w:hAnsi="宋体" w:eastAsia="宋体" w:cs="宋体"/>
                <w:szCs w:val="21"/>
              </w:rPr>
              <w:t>2020年1月11日</w:t>
            </w:r>
          </w:p>
        </w:tc>
        <w:tc>
          <w:tcPr>
            <w:tcW w:w="443" w:type="pct"/>
            <w:vAlign w:val="center"/>
          </w:tcPr>
          <w:p>
            <w:pPr>
              <w:adjustRightInd w:val="0"/>
              <w:snapToGrid w:val="0"/>
              <w:spacing w:line="500" w:lineRule="atLeast"/>
              <w:jc w:val="center"/>
              <w:rPr>
                <w:rFonts w:ascii="宋体" w:hAnsi="宋体" w:eastAsia="宋体" w:cs="宋体"/>
                <w:color w:val="000000"/>
                <w:kern w:val="0"/>
                <w:szCs w:val="21"/>
                <w:lang w:bidi="ar"/>
              </w:rPr>
            </w:pPr>
            <w:r>
              <w:rPr>
                <w:rFonts w:hint="eastAsia" w:ascii="宋体" w:hAnsi="宋体" w:eastAsia="宋体" w:cs="宋体"/>
                <w:color w:val="000000"/>
                <w:szCs w:val="21"/>
              </w:rPr>
              <w:t>1</w:t>
            </w:r>
          </w:p>
        </w:tc>
        <w:tc>
          <w:tcPr>
            <w:tcW w:w="1289" w:type="pct"/>
            <w:vAlign w:val="center"/>
          </w:tcPr>
          <w:p>
            <w:pPr>
              <w:adjustRightInd w:val="0"/>
              <w:snapToGrid w:val="0"/>
              <w:spacing w:line="500" w:lineRule="atLeast"/>
              <w:jc w:val="center"/>
              <w:rPr>
                <w:rFonts w:ascii="宋体" w:hAnsi="宋体" w:eastAsia="宋体" w:cs="宋体"/>
                <w:color w:val="000000"/>
                <w:kern w:val="0"/>
                <w:szCs w:val="21"/>
                <w:lang w:bidi="ar"/>
              </w:rPr>
            </w:pPr>
            <w:r>
              <w:rPr>
                <w:rFonts w:hint="eastAsia" w:ascii="宋体" w:hAnsi="宋体" w:eastAsia="宋体" w:cs="宋体"/>
                <w:color w:val="000000"/>
                <w:szCs w:val="21"/>
              </w:rPr>
              <w:t>福建农林大学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3" w:type="pct"/>
            <w:vAlign w:val="center"/>
          </w:tcPr>
          <w:p>
            <w:pPr>
              <w:adjustRightInd w:val="0"/>
              <w:snapToGrid w:val="0"/>
              <w:spacing w:line="500" w:lineRule="atLeast"/>
              <w:jc w:val="center"/>
              <w:rPr>
                <w:rFonts w:ascii="宋体" w:hAnsi="宋体" w:eastAsia="宋体" w:cs="宋体"/>
                <w:color w:val="000000"/>
                <w:kern w:val="0"/>
                <w:sz w:val="20"/>
                <w:szCs w:val="21"/>
                <w:lang w:bidi="ar"/>
              </w:rPr>
            </w:pPr>
            <w:r>
              <w:rPr>
                <w:rFonts w:hint="eastAsia" w:ascii="宋体" w:hAnsi="宋体" w:eastAsia="宋体" w:cs="宋体"/>
                <w:color w:val="000000"/>
                <w:szCs w:val="21"/>
              </w:rPr>
              <w:t>2</w:t>
            </w:r>
          </w:p>
        </w:tc>
        <w:tc>
          <w:tcPr>
            <w:tcW w:w="2020" w:type="pct"/>
            <w:vAlign w:val="center"/>
          </w:tcPr>
          <w:p>
            <w:pPr>
              <w:adjustRightInd w:val="0"/>
              <w:snapToGrid w:val="0"/>
              <w:spacing w:line="500" w:lineRule="atLeast"/>
              <w:jc w:val="center"/>
              <w:rPr>
                <w:rFonts w:ascii="宋体" w:hAnsi="宋体" w:eastAsia="宋体" w:cs="宋体"/>
                <w:color w:val="000000"/>
                <w:kern w:val="0"/>
                <w:sz w:val="20"/>
                <w:szCs w:val="21"/>
                <w:lang w:bidi="ar"/>
              </w:rPr>
            </w:pPr>
            <w:r>
              <w:rPr>
                <w:rFonts w:hint="eastAsia" w:ascii="宋体" w:hAnsi="宋体" w:eastAsia="宋体" w:cs="宋体"/>
                <w:color w:val="000000"/>
                <w:szCs w:val="21"/>
              </w:rPr>
              <w:t>教与学学术国际会议前置研修坊“在课堂教学中探索研究问题”</w:t>
            </w:r>
          </w:p>
        </w:tc>
        <w:tc>
          <w:tcPr>
            <w:tcW w:w="933" w:type="pct"/>
            <w:vAlign w:val="center"/>
          </w:tcPr>
          <w:p>
            <w:pPr>
              <w:adjustRightInd w:val="0"/>
              <w:snapToGrid w:val="0"/>
              <w:spacing w:line="500" w:lineRule="atLeast"/>
              <w:jc w:val="center"/>
              <w:rPr>
                <w:rFonts w:ascii="宋体" w:hAnsi="宋体" w:eastAsia="宋体" w:cs="宋体"/>
                <w:color w:val="000000"/>
                <w:kern w:val="0"/>
                <w:sz w:val="20"/>
                <w:szCs w:val="21"/>
                <w:lang w:bidi="ar"/>
              </w:rPr>
            </w:pPr>
            <w:r>
              <w:rPr>
                <w:rFonts w:hint="eastAsia" w:ascii="宋体" w:hAnsi="宋体" w:eastAsia="宋体" w:cs="宋体"/>
                <w:szCs w:val="21"/>
              </w:rPr>
              <w:t>2020年8月21日-23日</w:t>
            </w:r>
          </w:p>
        </w:tc>
        <w:tc>
          <w:tcPr>
            <w:tcW w:w="443" w:type="pct"/>
            <w:vAlign w:val="center"/>
          </w:tcPr>
          <w:p>
            <w:pPr>
              <w:adjustRightInd w:val="0"/>
              <w:snapToGrid w:val="0"/>
              <w:spacing w:line="500" w:lineRule="atLeast"/>
              <w:jc w:val="center"/>
              <w:rPr>
                <w:rFonts w:ascii="宋体" w:hAnsi="宋体" w:eastAsia="宋体" w:cs="宋体"/>
                <w:color w:val="000000"/>
                <w:kern w:val="0"/>
                <w:sz w:val="20"/>
                <w:szCs w:val="21"/>
                <w:lang w:bidi="ar"/>
              </w:rPr>
            </w:pPr>
            <w:r>
              <w:rPr>
                <w:rFonts w:hint="eastAsia" w:ascii="宋体" w:hAnsi="宋体" w:eastAsia="宋体" w:cs="宋体"/>
                <w:color w:val="000000"/>
                <w:szCs w:val="21"/>
              </w:rPr>
              <w:t>1</w:t>
            </w:r>
          </w:p>
        </w:tc>
        <w:tc>
          <w:tcPr>
            <w:tcW w:w="1289" w:type="pct"/>
            <w:vAlign w:val="center"/>
          </w:tcPr>
          <w:p>
            <w:pPr>
              <w:adjustRightInd w:val="0"/>
              <w:snapToGrid w:val="0"/>
              <w:spacing w:line="500" w:lineRule="atLeast"/>
              <w:jc w:val="center"/>
              <w:rPr>
                <w:rFonts w:ascii="宋体" w:hAnsi="宋体" w:eastAsia="宋体" w:cs="宋体"/>
                <w:color w:val="000000"/>
                <w:kern w:val="0"/>
                <w:sz w:val="20"/>
                <w:szCs w:val="21"/>
                <w:lang w:bidi="ar"/>
              </w:rPr>
            </w:pPr>
            <w:r>
              <w:rPr>
                <w:rFonts w:hint="eastAsia" w:ascii="宋体" w:hAnsi="宋体" w:eastAsia="宋体" w:cs="宋体"/>
                <w:color w:val="000000"/>
                <w:szCs w:val="21"/>
              </w:rPr>
              <w:t>2020中国教与学学术国际会议组委会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3" w:type="pct"/>
            <w:vAlign w:val="center"/>
          </w:tcPr>
          <w:p>
            <w:pPr>
              <w:adjustRightInd w:val="0"/>
              <w:snapToGrid w:val="0"/>
              <w:spacing w:line="500" w:lineRule="atLeast"/>
              <w:jc w:val="center"/>
              <w:rPr>
                <w:rFonts w:ascii="宋体" w:hAnsi="宋体" w:eastAsia="宋体" w:cs="宋体"/>
                <w:color w:val="000000"/>
                <w:kern w:val="0"/>
                <w:sz w:val="20"/>
                <w:szCs w:val="21"/>
                <w:lang w:bidi="ar"/>
              </w:rPr>
            </w:pPr>
            <w:r>
              <w:rPr>
                <w:rFonts w:hint="eastAsia" w:ascii="宋体" w:hAnsi="宋体" w:eastAsia="宋体" w:cs="宋体"/>
                <w:color w:val="000000"/>
                <w:szCs w:val="21"/>
              </w:rPr>
              <w:t>3</w:t>
            </w:r>
          </w:p>
        </w:tc>
        <w:tc>
          <w:tcPr>
            <w:tcW w:w="2020" w:type="pct"/>
            <w:vAlign w:val="center"/>
          </w:tcPr>
          <w:p>
            <w:pPr>
              <w:adjustRightInd w:val="0"/>
              <w:snapToGrid w:val="0"/>
              <w:spacing w:line="500" w:lineRule="atLeast"/>
              <w:jc w:val="center"/>
              <w:rPr>
                <w:rFonts w:ascii="宋体" w:hAnsi="宋体" w:eastAsia="宋体" w:cs="宋体"/>
                <w:color w:val="000000"/>
                <w:kern w:val="0"/>
                <w:sz w:val="20"/>
                <w:szCs w:val="21"/>
                <w:lang w:bidi="ar"/>
              </w:rPr>
            </w:pPr>
            <w:r>
              <w:rPr>
                <w:rFonts w:hint="eastAsia" w:ascii="宋体" w:hAnsi="宋体" w:eastAsia="宋体" w:cs="宋体"/>
                <w:color w:val="000000"/>
                <w:szCs w:val="21"/>
              </w:rPr>
              <w:t>高素质农民培育师资培训班</w:t>
            </w:r>
          </w:p>
        </w:tc>
        <w:tc>
          <w:tcPr>
            <w:tcW w:w="933" w:type="pct"/>
            <w:vAlign w:val="center"/>
          </w:tcPr>
          <w:p>
            <w:pPr>
              <w:adjustRightInd w:val="0"/>
              <w:snapToGrid w:val="0"/>
              <w:spacing w:line="500" w:lineRule="atLeast"/>
              <w:jc w:val="center"/>
              <w:rPr>
                <w:rFonts w:ascii="宋体" w:hAnsi="宋体" w:eastAsia="宋体" w:cs="宋体"/>
                <w:color w:val="000000"/>
                <w:kern w:val="0"/>
                <w:sz w:val="20"/>
                <w:szCs w:val="21"/>
                <w:lang w:bidi="ar"/>
              </w:rPr>
            </w:pPr>
            <w:r>
              <w:rPr>
                <w:rFonts w:hint="eastAsia" w:ascii="宋体" w:hAnsi="宋体" w:eastAsia="宋体" w:cs="宋体"/>
                <w:color w:val="000000"/>
                <w:szCs w:val="21"/>
              </w:rPr>
              <w:t>2020年11月9日-14日</w:t>
            </w:r>
          </w:p>
        </w:tc>
        <w:tc>
          <w:tcPr>
            <w:tcW w:w="443" w:type="pct"/>
            <w:vAlign w:val="center"/>
          </w:tcPr>
          <w:p>
            <w:pPr>
              <w:adjustRightInd w:val="0"/>
              <w:snapToGrid w:val="0"/>
              <w:spacing w:line="500" w:lineRule="atLeast"/>
              <w:jc w:val="center"/>
              <w:rPr>
                <w:rFonts w:ascii="宋体" w:hAnsi="宋体" w:eastAsia="宋体" w:cs="宋体"/>
                <w:color w:val="000000"/>
                <w:kern w:val="0"/>
                <w:sz w:val="20"/>
                <w:szCs w:val="21"/>
                <w:lang w:bidi="ar"/>
              </w:rPr>
            </w:pPr>
            <w:r>
              <w:rPr>
                <w:rFonts w:hint="eastAsia" w:ascii="宋体" w:hAnsi="宋体" w:eastAsia="宋体" w:cs="宋体"/>
                <w:color w:val="000000"/>
                <w:szCs w:val="21"/>
              </w:rPr>
              <w:t>1</w:t>
            </w:r>
          </w:p>
        </w:tc>
        <w:tc>
          <w:tcPr>
            <w:tcW w:w="1289" w:type="pct"/>
            <w:vAlign w:val="center"/>
          </w:tcPr>
          <w:p>
            <w:pPr>
              <w:adjustRightInd w:val="0"/>
              <w:snapToGrid w:val="0"/>
              <w:spacing w:line="500" w:lineRule="atLeast"/>
              <w:jc w:val="center"/>
              <w:rPr>
                <w:rFonts w:ascii="宋体" w:hAnsi="宋体" w:eastAsia="宋体" w:cs="宋体"/>
                <w:color w:val="000000"/>
                <w:kern w:val="0"/>
                <w:sz w:val="20"/>
                <w:szCs w:val="21"/>
                <w:lang w:bidi="ar"/>
              </w:rPr>
            </w:pPr>
            <w:r>
              <w:rPr>
                <w:rFonts w:hint="eastAsia" w:ascii="宋体" w:hAnsi="宋体" w:eastAsia="宋体" w:cs="宋体"/>
                <w:color w:val="000000"/>
                <w:szCs w:val="21"/>
              </w:rPr>
              <w:t>福建省科技厅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3" w:type="pct"/>
            <w:vAlign w:val="center"/>
          </w:tcPr>
          <w:p>
            <w:pPr>
              <w:adjustRightInd w:val="0"/>
              <w:snapToGrid w:val="0"/>
              <w:spacing w:line="500" w:lineRule="atLeast"/>
              <w:jc w:val="center"/>
              <w:rPr>
                <w:rFonts w:ascii="宋体" w:hAnsi="宋体" w:eastAsia="宋体" w:cs="宋体"/>
                <w:kern w:val="0"/>
                <w:szCs w:val="21"/>
              </w:rPr>
            </w:pPr>
            <w:r>
              <w:rPr>
                <w:rFonts w:hint="eastAsia" w:ascii="宋体" w:hAnsi="宋体" w:eastAsia="宋体" w:cs="宋体"/>
                <w:color w:val="000000"/>
                <w:szCs w:val="21"/>
              </w:rPr>
              <w:t>4</w:t>
            </w:r>
          </w:p>
        </w:tc>
        <w:tc>
          <w:tcPr>
            <w:tcW w:w="2020" w:type="pct"/>
            <w:vAlign w:val="center"/>
          </w:tcPr>
          <w:p>
            <w:pPr>
              <w:adjustRightInd w:val="0"/>
              <w:snapToGrid w:val="0"/>
              <w:spacing w:line="500" w:lineRule="atLeast"/>
              <w:jc w:val="center"/>
              <w:rPr>
                <w:rFonts w:ascii="宋体" w:hAnsi="宋体" w:eastAsia="宋体" w:cs="宋体"/>
                <w:kern w:val="0"/>
                <w:szCs w:val="21"/>
              </w:rPr>
            </w:pPr>
            <w:r>
              <w:rPr>
                <w:rFonts w:hint="eastAsia" w:ascii="宋体" w:hAnsi="宋体" w:eastAsia="宋体" w:cs="宋体"/>
                <w:color w:val="000000"/>
                <w:szCs w:val="21"/>
              </w:rPr>
              <w:t>经济学院2020年研究生导师培训会</w:t>
            </w:r>
          </w:p>
        </w:tc>
        <w:tc>
          <w:tcPr>
            <w:tcW w:w="933" w:type="pct"/>
            <w:vAlign w:val="center"/>
          </w:tcPr>
          <w:p>
            <w:pPr>
              <w:adjustRightInd w:val="0"/>
              <w:snapToGrid w:val="0"/>
              <w:spacing w:line="500" w:lineRule="atLeast"/>
              <w:jc w:val="center"/>
              <w:rPr>
                <w:rFonts w:ascii="宋体" w:hAnsi="宋体" w:eastAsia="宋体" w:cs="宋体"/>
                <w:kern w:val="0"/>
                <w:szCs w:val="21"/>
              </w:rPr>
            </w:pPr>
            <w:r>
              <w:rPr>
                <w:rFonts w:hint="eastAsia" w:ascii="宋体" w:hAnsi="宋体" w:eastAsia="宋体" w:cs="宋体"/>
                <w:color w:val="000000"/>
                <w:szCs w:val="21"/>
              </w:rPr>
              <w:t>2020年11月26日</w:t>
            </w:r>
          </w:p>
        </w:tc>
        <w:tc>
          <w:tcPr>
            <w:tcW w:w="443" w:type="pct"/>
            <w:vAlign w:val="center"/>
          </w:tcPr>
          <w:p>
            <w:pPr>
              <w:adjustRightInd w:val="0"/>
              <w:snapToGrid w:val="0"/>
              <w:spacing w:line="500" w:lineRule="atLeast"/>
              <w:jc w:val="center"/>
              <w:rPr>
                <w:rFonts w:ascii="宋体" w:hAnsi="宋体" w:eastAsia="宋体" w:cs="宋体"/>
                <w:kern w:val="0"/>
                <w:szCs w:val="21"/>
              </w:rPr>
            </w:pPr>
            <w:r>
              <w:rPr>
                <w:rFonts w:hint="eastAsia" w:ascii="宋体" w:hAnsi="宋体" w:eastAsia="宋体" w:cs="宋体"/>
                <w:color w:val="000000"/>
                <w:szCs w:val="21"/>
              </w:rPr>
              <w:t>19</w:t>
            </w:r>
          </w:p>
        </w:tc>
        <w:tc>
          <w:tcPr>
            <w:tcW w:w="1289" w:type="pct"/>
            <w:vAlign w:val="center"/>
          </w:tcPr>
          <w:p>
            <w:pPr>
              <w:adjustRightInd w:val="0"/>
              <w:snapToGrid w:val="0"/>
              <w:spacing w:line="500" w:lineRule="atLeast"/>
              <w:jc w:val="center"/>
              <w:rPr>
                <w:rFonts w:ascii="宋体" w:hAnsi="宋体" w:eastAsia="宋体" w:cs="宋体"/>
                <w:kern w:val="0"/>
                <w:szCs w:val="21"/>
              </w:rPr>
            </w:pPr>
            <w:r>
              <w:rPr>
                <w:rFonts w:hint="eastAsia" w:ascii="宋体" w:hAnsi="宋体" w:eastAsia="宋体" w:cs="宋体"/>
                <w:color w:val="000000"/>
                <w:szCs w:val="21"/>
              </w:rPr>
              <w:t>福建农林大学经济管理学院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3" w:type="pct"/>
            <w:vAlign w:val="center"/>
          </w:tcPr>
          <w:p>
            <w:pPr>
              <w:adjustRightInd w:val="0"/>
              <w:snapToGrid w:val="0"/>
              <w:spacing w:line="500" w:lineRule="atLeast"/>
              <w:jc w:val="center"/>
              <w:rPr>
                <w:rFonts w:ascii="宋体" w:hAnsi="宋体" w:eastAsia="宋体" w:cs="宋体"/>
                <w:color w:val="000000"/>
                <w:kern w:val="0"/>
                <w:szCs w:val="21"/>
                <w:lang w:bidi="ar"/>
              </w:rPr>
            </w:pPr>
            <w:r>
              <w:rPr>
                <w:rFonts w:hint="eastAsia" w:ascii="宋体" w:hAnsi="宋体" w:eastAsia="宋体" w:cs="宋体"/>
                <w:color w:val="000000"/>
                <w:szCs w:val="21"/>
              </w:rPr>
              <w:t>5</w:t>
            </w:r>
          </w:p>
        </w:tc>
        <w:tc>
          <w:tcPr>
            <w:tcW w:w="2020" w:type="pct"/>
            <w:vAlign w:val="center"/>
          </w:tcPr>
          <w:p>
            <w:pPr>
              <w:adjustRightInd w:val="0"/>
              <w:snapToGrid w:val="0"/>
              <w:spacing w:line="500" w:lineRule="atLeast"/>
              <w:jc w:val="center"/>
              <w:rPr>
                <w:rFonts w:ascii="宋体" w:hAnsi="宋体" w:eastAsia="宋体" w:cs="宋体"/>
                <w:color w:val="000000"/>
                <w:kern w:val="0"/>
                <w:szCs w:val="21"/>
                <w:lang w:bidi="ar"/>
              </w:rPr>
            </w:pPr>
            <w:r>
              <w:rPr>
                <w:rFonts w:hint="eastAsia" w:ascii="宋体" w:hAnsi="宋体" w:eastAsia="宋体" w:cs="宋体"/>
                <w:color w:val="000000"/>
                <w:szCs w:val="21"/>
              </w:rPr>
              <w:t>课程思政与专业思政建设及教师思政能力提升研修班</w:t>
            </w:r>
          </w:p>
        </w:tc>
        <w:tc>
          <w:tcPr>
            <w:tcW w:w="933" w:type="pct"/>
            <w:vAlign w:val="center"/>
          </w:tcPr>
          <w:p>
            <w:pPr>
              <w:adjustRightInd w:val="0"/>
              <w:snapToGrid w:val="0"/>
              <w:spacing w:line="500" w:lineRule="atLeast"/>
              <w:jc w:val="center"/>
              <w:rPr>
                <w:rFonts w:ascii="宋体" w:hAnsi="宋体" w:eastAsia="宋体" w:cs="宋体"/>
                <w:color w:val="000000"/>
                <w:kern w:val="0"/>
                <w:szCs w:val="21"/>
                <w:lang w:bidi="ar"/>
              </w:rPr>
            </w:pPr>
            <w:r>
              <w:rPr>
                <w:rFonts w:hint="eastAsia" w:ascii="宋体" w:hAnsi="宋体" w:eastAsia="宋体" w:cs="宋体"/>
                <w:color w:val="000000"/>
                <w:szCs w:val="21"/>
              </w:rPr>
              <w:t>2020年11月27日</w:t>
            </w:r>
          </w:p>
        </w:tc>
        <w:tc>
          <w:tcPr>
            <w:tcW w:w="443" w:type="pct"/>
            <w:vAlign w:val="center"/>
          </w:tcPr>
          <w:p>
            <w:pPr>
              <w:adjustRightInd w:val="0"/>
              <w:snapToGrid w:val="0"/>
              <w:spacing w:line="500" w:lineRule="atLeast"/>
              <w:jc w:val="center"/>
              <w:rPr>
                <w:rFonts w:ascii="宋体" w:hAnsi="宋体" w:eastAsia="宋体" w:cs="宋体"/>
                <w:color w:val="000000"/>
                <w:kern w:val="0"/>
                <w:szCs w:val="21"/>
                <w:lang w:bidi="ar"/>
              </w:rPr>
            </w:pPr>
            <w:r>
              <w:rPr>
                <w:rFonts w:hint="eastAsia" w:ascii="宋体" w:hAnsi="宋体" w:eastAsia="宋体" w:cs="宋体"/>
                <w:color w:val="000000"/>
                <w:szCs w:val="21"/>
              </w:rPr>
              <w:t>1</w:t>
            </w:r>
          </w:p>
        </w:tc>
        <w:tc>
          <w:tcPr>
            <w:tcW w:w="1289" w:type="pct"/>
            <w:vAlign w:val="center"/>
          </w:tcPr>
          <w:p>
            <w:pPr>
              <w:adjustRightInd w:val="0"/>
              <w:snapToGrid w:val="0"/>
              <w:spacing w:line="500" w:lineRule="atLeast"/>
              <w:jc w:val="center"/>
              <w:rPr>
                <w:rFonts w:ascii="宋体" w:hAnsi="宋体" w:eastAsia="宋体" w:cs="宋体"/>
                <w:color w:val="000000"/>
                <w:kern w:val="0"/>
                <w:szCs w:val="21"/>
                <w:lang w:bidi="ar"/>
              </w:rPr>
            </w:pPr>
            <w:r>
              <w:rPr>
                <w:rFonts w:hint="eastAsia" w:ascii="宋体" w:hAnsi="宋体" w:eastAsia="宋体" w:cs="宋体"/>
                <w:color w:val="000000"/>
                <w:szCs w:val="21"/>
              </w:rPr>
              <w:t>厦门大学教师发展中心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3" w:type="pct"/>
            <w:vAlign w:val="center"/>
          </w:tcPr>
          <w:p>
            <w:pPr>
              <w:adjustRightInd w:val="0"/>
              <w:snapToGrid w:val="0"/>
              <w:spacing w:line="500" w:lineRule="atLeast"/>
              <w:jc w:val="center"/>
              <w:rPr>
                <w:rFonts w:ascii="宋体" w:hAnsi="宋体" w:eastAsia="宋体" w:cs="宋体"/>
                <w:color w:val="000000"/>
                <w:kern w:val="0"/>
                <w:szCs w:val="21"/>
                <w:lang w:bidi="ar"/>
              </w:rPr>
            </w:pPr>
            <w:r>
              <w:rPr>
                <w:rFonts w:hint="eastAsia" w:ascii="宋体" w:hAnsi="宋体" w:eastAsia="宋体" w:cs="宋体"/>
                <w:color w:val="000000"/>
                <w:szCs w:val="21"/>
              </w:rPr>
              <w:t>6</w:t>
            </w:r>
          </w:p>
        </w:tc>
        <w:tc>
          <w:tcPr>
            <w:tcW w:w="2020" w:type="pct"/>
            <w:vAlign w:val="center"/>
          </w:tcPr>
          <w:p>
            <w:pPr>
              <w:adjustRightInd w:val="0"/>
              <w:snapToGrid w:val="0"/>
              <w:spacing w:line="500" w:lineRule="atLeast"/>
              <w:jc w:val="center"/>
              <w:rPr>
                <w:rFonts w:ascii="宋体" w:hAnsi="宋体" w:eastAsia="宋体" w:cs="宋体"/>
                <w:color w:val="000000"/>
                <w:kern w:val="0"/>
                <w:szCs w:val="21"/>
                <w:lang w:bidi="ar"/>
              </w:rPr>
            </w:pPr>
            <w:r>
              <w:rPr>
                <w:rFonts w:hint="eastAsia" w:ascii="宋体" w:hAnsi="宋体" w:eastAsia="宋体" w:cs="宋体"/>
                <w:color w:val="000000"/>
                <w:szCs w:val="21"/>
              </w:rPr>
              <w:t>经济学院全省研究生导师培训会</w:t>
            </w:r>
          </w:p>
        </w:tc>
        <w:tc>
          <w:tcPr>
            <w:tcW w:w="933" w:type="pct"/>
            <w:vAlign w:val="center"/>
          </w:tcPr>
          <w:p>
            <w:pPr>
              <w:adjustRightInd w:val="0"/>
              <w:snapToGrid w:val="0"/>
              <w:spacing w:line="500" w:lineRule="atLeast"/>
              <w:jc w:val="center"/>
              <w:rPr>
                <w:rFonts w:ascii="宋体" w:hAnsi="宋体" w:eastAsia="宋体" w:cs="宋体"/>
                <w:color w:val="000000"/>
                <w:kern w:val="0"/>
                <w:szCs w:val="21"/>
                <w:lang w:bidi="ar"/>
              </w:rPr>
            </w:pPr>
            <w:r>
              <w:rPr>
                <w:rFonts w:hint="eastAsia" w:ascii="宋体" w:hAnsi="宋体" w:eastAsia="宋体" w:cs="宋体"/>
                <w:color w:val="000000"/>
                <w:szCs w:val="21"/>
              </w:rPr>
              <w:t>2020年12月17日</w:t>
            </w:r>
          </w:p>
        </w:tc>
        <w:tc>
          <w:tcPr>
            <w:tcW w:w="443" w:type="pct"/>
            <w:vAlign w:val="center"/>
          </w:tcPr>
          <w:p>
            <w:pPr>
              <w:adjustRightInd w:val="0"/>
              <w:snapToGrid w:val="0"/>
              <w:spacing w:line="500" w:lineRule="atLeast"/>
              <w:jc w:val="center"/>
              <w:rPr>
                <w:rFonts w:ascii="宋体" w:hAnsi="宋体" w:eastAsia="宋体" w:cs="宋体"/>
                <w:color w:val="000000"/>
                <w:kern w:val="0"/>
                <w:szCs w:val="21"/>
                <w:lang w:bidi="ar"/>
              </w:rPr>
            </w:pPr>
            <w:r>
              <w:rPr>
                <w:rFonts w:hint="eastAsia" w:ascii="宋体" w:hAnsi="宋体" w:eastAsia="宋体" w:cs="宋体"/>
                <w:color w:val="000000"/>
                <w:szCs w:val="21"/>
              </w:rPr>
              <w:t>18</w:t>
            </w:r>
          </w:p>
        </w:tc>
        <w:tc>
          <w:tcPr>
            <w:tcW w:w="1289" w:type="pct"/>
            <w:vAlign w:val="center"/>
          </w:tcPr>
          <w:p>
            <w:pPr>
              <w:adjustRightInd w:val="0"/>
              <w:snapToGrid w:val="0"/>
              <w:spacing w:line="500" w:lineRule="atLeast"/>
              <w:jc w:val="center"/>
              <w:rPr>
                <w:rFonts w:ascii="宋体" w:hAnsi="宋体" w:eastAsia="宋体" w:cs="宋体"/>
                <w:color w:val="000000"/>
                <w:kern w:val="0"/>
                <w:szCs w:val="21"/>
                <w:lang w:bidi="ar"/>
              </w:rPr>
            </w:pPr>
            <w:r>
              <w:rPr>
                <w:rFonts w:hint="eastAsia" w:ascii="宋体" w:hAnsi="宋体" w:eastAsia="宋体" w:cs="宋体"/>
                <w:color w:val="000000"/>
                <w:szCs w:val="21"/>
              </w:rPr>
              <w:t>福建省学位办</w:t>
            </w:r>
          </w:p>
        </w:tc>
      </w:tr>
    </w:tbl>
    <w:p>
      <w:pPr>
        <w:spacing w:line="500" w:lineRule="atLeast"/>
        <w:rPr>
          <w:rFonts w:ascii="宋体" w:hAnsi="宋体" w:eastAsia="宋体"/>
          <w:sz w:val="24"/>
        </w:rPr>
      </w:pPr>
    </w:p>
    <w:p>
      <w:pPr>
        <w:pStyle w:val="16"/>
        <w:spacing w:line="500" w:lineRule="atLeast"/>
        <w:ind w:firstLine="640"/>
        <w:rPr>
          <w:rFonts w:ascii="仿宋" w:hAnsi="仿宋" w:eastAsia="仿宋" w:cs="仿宋"/>
          <w:sz w:val="32"/>
          <w:szCs w:val="32"/>
        </w:rPr>
      </w:pPr>
      <w:r>
        <w:rPr>
          <w:rFonts w:hint="eastAsia" w:ascii="仿宋" w:hAnsi="仿宋" w:eastAsia="仿宋" w:cs="仿宋"/>
          <w:sz w:val="32"/>
          <w:szCs w:val="32"/>
        </w:rPr>
        <w:t>6.学术训练或实习实践</w:t>
      </w:r>
    </w:p>
    <w:p>
      <w:pPr>
        <w:spacing w:line="500" w:lineRule="atLeast"/>
        <w:ind w:firstLine="425"/>
        <w:rPr>
          <w:rFonts w:ascii="宋体" w:hAnsi="宋体" w:eastAsia="宋体"/>
          <w:sz w:val="24"/>
        </w:rPr>
      </w:pPr>
      <w:r>
        <w:rPr>
          <w:rFonts w:ascii="宋体" w:hAnsi="宋体" w:eastAsia="宋体"/>
          <w:sz w:val="24"/>
        </w:rPr>
        <w:t>建立科研创新激励机制。学校设立研究生优秀科研成果奖励基金，鼓励研究生参加各类学科竞赛,对发表高水平学术论文和作为主研人员取得科研成果的研究生予以奖励；学院也设立专项经费，鼓励研究生申报研究课题、参加国内外学术交流、参加学术活动。具体要求按《福建农林大学研究生参加学术活动管理规定》执行。</w:t>
      </w:r>
      <w:r>
        <w:rPr>
          <w:rFonts w:hint="eastAsia" w:ascii="宋体" w:hAnsi="宋体" w:eastAsia="宋体"/>
          <w:sz w:val="24"/>
        </w:rPr>
        <w:t>本</w:t>
      </w:r>
      <w:r>
        <w:rPr>
          <w:rFonts w:ascii="宋体" w:hAnsi="宋体" w:eastAsia="宋体"/>
          <w:sz w:val="24"/>
        </w:rPr>
        <w:t>学位点研究生全部参与导师所有各类科研项目，参与科研项目比例100%</w:t>
      </w:r>
      <w:r>
        <w:rPr>
          <w:rFonts w:hint="eastAsia" w:ascii="宋体" w:hAnsi="宋体" w:eastAsia="宋体"/>
          <w:sz w:val="24"/>
        </w:rPr>
        <w:t>。2</w:t>
      </w:r>
      <w:r>
        <w:rPr>
          <w:rFonts w:ascii="宋体" w:hAnsi="宋体" w:eastAsia="宋体"/>
          <w:sz w:val="24"/>
        </w:rPr>
        <w:t>020</w:t>
      </w:r>
      <w:r>
        <w:rPr>
          <w:rFonts w:hint="eastAsia" w:ascii="宋体" w:hAnsi="宋体" w:eastAsia="宋体"/>
          <w:sz w:val="24"/>
        </w:rPr>
        <w:t>年度，</w:t>
      </w:r>
      <w:r>
        <w:rPr>
          <w:rFonts w:ascii="宋体" w:hAnsi="宋体" w:eastAsia="宋体"/>
          <w:sz w:val="24"/>
        </w:rPr>
        <w:t>本学位点研究生</w:t>
      </w:r>
      <w:r>
        <w:rPr>
          <w:rFonts w:hint="eastAsia" w:ascii="宋体" w:hAnsi="宋体" w:eastAsia="宋体"/>
          <w:sz w:val="24"/>
        </w:rPr>
        <w:t>共发</w:t>
      </w:r>
      <w:r>
        <w:rPr>
          <w:rFonts w:ascii="宋体" w:hAnsi="宋体" w:eastAsia="宋体"/>
          <w:sz w:val="24"/>
        </w:rPr>
        <w:t>表学术论文7</w:t>
      </w:r>
      <w:r>
        <w:rPr>
          <w:rFonts w:hint="eastAsia" w:ascii="宋体" w:hAnsi="宋体" w:eastAsia="宋体"/>
          <w:sz w:val="24"/>
        </w:rPr>
        <w:t>篇</w:t>
      </w:r>
      <w:r>
        <w:rPr>
          <w:rFonts w:ascii="宋体" w:hAnsi="宋体" w:eastAsia="宋体"/>
          <w:sz w:val="24"/>
        </w:rPr>
        <w:t>。</w:t>
      </w:r>
    </w:p>
    <w:p>
      <w:pPr>
        <w:spacing w:line="500" w:lineRule="atLeast"/>
        <w:ind w:firstLine="425"/>
        <w:rPr>
          <w:rFonts w:ascii="宋体" w:hAnsi="宋体" w:eastAsia="宋体"/>
          <w:sz w:val="24"/>
        </w:rPr>
      </w:pPr>
      <w:r>
        <w:rPr>
          <w:rFonts w:ascii="宋体" w:hAnsi="宋体" w:eastAsia="宋体"/>
          <w:sz w:val="24"/>
        </w:rPr>
        <w:t>同时学位点高度重视学生实践</w:t>
      </w:r>
      <w:r>
        <w:rPr>
          <w:rFonts w:hint="eastAsia" w:ascii="宋体" w:hAnsi="宋体" w:eastAsia="宋体"/>
          <w:sz w:val="24"/>
        </w:rPr>
        <w:t>能</w:t>
      </w:r>
      <w:r>
        <w:rPr>
          <w:rFonts w:ascii="宋体" w:hAnsi="宋体" w:eastAsia="宋体"/>
          <w:sz w:val="24"/>
        </w:rPr>
        <w:t>力培养，设有各类实践基地为研究生实践能力培养提供良好条件。学位点拥有5类教学实践基地，包括2个校内实训基地、14个校外教学实践基地、9个普惠金融创新实践基地、44个普惠金融固定观察点和1个农村金融观察点。</w:t>
      </w:r>
    </w:p>
    <w:p>
      <w:pPr>
        <w:spacing w:line="500" w:lineRule="atLeast"/>
        <w:jc w:val="center"/>
        <w:rPr>
          <w:rFonts w:ascii="宋体" w:hAnsi="宋体" w:eastAsia="宋体"/>
          <w:b/>
          <w:bCs/>
          <w:sz w:val="24"/>
        </w:rPr>
      </w:pPr>
      <w:r>
        <w:rPr>
          <w:rFonts w:hint="eastAsia" w:ascii="宋体" w:hAnsi="宋体" w:eastAsia="宋体"/>
          <w:b/>
          <w:bCs/>
          <w:sz w:val="24"/>
        </w:rPr>
        <w:t>表</w:t>
      </w:r>
      <w:r>
        <w:rPr>
          <w:rFonts w:ascii="宋体" w:hAnsi="宋体" w:eastAsia="宋体"/>
          <w:b/>
          <w:bCs/>
          <w:sz w:val="24"/>
        </w:rPr>
        <w:t>8</w:t>
      </w:r>
      <w:r>
        <w:rPr>
          <w:rFonts w:hint="eastAsia" w:ascii="宋体" w:hAnsi="宋体" w:eastAsia="宋体"/>
          <w:b/>
          <w:bCs/>
          <w:sz w:val="24"/>
        </w:rPr>
        <w:t xml:space="preserve"> 本学位点实践基地情况</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9"/>
        <w:gridCol w:w="985"/>
        <w:gridCol w:w="65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Borders>
              <w:top w:val="single" w:color="auto" w:sz="4" w:space="0"/>
              <w:left w:val="single" w:color="auto" w:sz="4" w:space="0"/>
              <w:bottom w:val="single" w:color="auto" w:sz="4" w:space="0"/>
              <w:right w:val="single" w:color="auto" w:sz="4" w:space="0"/>
            </w:tcBorders>
            <w:vAlign w:val="center"/>
          </w:tcPr>
          <w:p>
            <w:pPr>
              <w:spacing w:line="500" w:lineRule="atLeast"/>
              <w:jc w:val="center"/>
              <w:rPr>
                <w:rFonts w:ascii="宋体" w:hAnsi="宋体" w:eastAsia="宋体"/>
                <w:b/>
                <w:bCs/>
                <w:szCs w:val="21"/>
              </w:rPr>
            </w:pPr>
            <w:r>
              <w:rPr>
                <w:rFonts w:hint="eastAsia" w:ascii="宋体" w:hAnsi="宋体" w:eastAsia="宋体"/>
                <w:b/>
                <w:bCs/>
                <w:szCs w:val="21"/>
              </w:rPr>
              <w:t>实践基地类型</w:t>
            </w:r>
          </w:p>
        </w:tc>
        <w:tc>
          <w:tcPr>
            <w:tcW w:w="0" w:type="auto"/>
            <w:tcBorders>
              <w:top w:val="single" w:color="auto" w:sz="4" w:space="0"/>
              <w:left w:val="nil"/>
              <w:bottom w:val="single" w:color="auto" w:sz="4" w:space="0"/>
              <w:right w:val="single" w:color="auto" w:sz="4" w:space="0"/>
            </w:tcBorders>
            <w:vAlign w:val="center"/>
          </w:tcPr>
          <w:p>
            <w:pPr>
              <w:spacing w:line="500" w:lineRule="atLeast"/>
              <w:jc w:val="center"/>
              <w:rPr>
                <w:rFonts w:ascii="宋体" w:hAnsi="宋体" w:eastAsia="宋体"/>
                <w:b/>
                <w:bCs/>
                <w:szCs w:val="21"/>
              </w:rPr>
            </w:pPr>
            <w:r>
              <w:rPr>
                <w:rFonts w:hint="eastAsia" w:ascii="宋体" w:hAnsi="宋体" w:eastAsia="宋体"/>
                <w:b/>
                <w:bCs/>
                <w:szCs w:val="21"/>
              </w:rPr>
              <w:t>数量（个）</w:t>
            </w:r>
          </w:p>
        </w:tc>
        <w:tc>
          <w:tcPr>
            <w:tcW w:w="0" w:type="auto"/>
            <w:tcBorders>
              <w:top w:val="single" w:color="auto" w:sz="4" w:space="0"/>
              <w:left w:val="nil"/>
              <w:bottom w:val="single" w:color="auto" w:sz="4" w:space="0"/>
              <w:right w:val="single" w:color="auto" w:sz="4" w:space="0"/>
            </w:tcBorders>
            <w:vAlign w:val="center"/>
          </w:tcPr>
          <w:p>
            <w:pPr>
              <w:spacing w:line="500" w:lineRule="atLeast"/>
              <w:jc w:val="center"/>
              <w:rPr>
                <w:rFonts w:ascii="宋体" w:hAnsi="宋体" w:eastAsia="宋体"/>
                <w:b/>
                <w:bCs/>
                <w:szCs w:val="21"/>
              </w:rPr>
            </w:pPr>
            <w:r>
              <w:rPr>
                <w:rFonts w:hint="eastAsia" w:ascii="宋体" w:hAnsi="宋体" w:eastAsia="宋体"/>
                <w:b/>
                <w:bCs/>
                <w:szCs w:val="21"/>
              </w:rPr>
              <w:t>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Borders>
              <w:top w:val="single" w:color="auto" w:sz="4" w:space="0"/>
              <w:left w:val="single" w:color="auto" w:sz="4" w:space="0"/>
              <w:bottom w:val="single" w:color="auto" w:sz="4" w:space="0"/>
              <w:right w:val="single" w:color="auto" w:sz="4" w:space="0"/>
            </w:tcBorders>
            <w:vAlign w:val="center"/>
          </w:tcPr>
          <w:p>
            <w:pPr>
              <w:spacing w:line="500" w:lineRule="atLeast"/>
              <w:jc w:val="center"/>
              <w:rPr>
                <w:rFonts w:ascii="宋体" w:hAnsi="宋体" w:eastAsia="宋体"/>
                <w:szCs w:val="21"/>
              </w:rPr>
            </w:pPr>
            <w:r>
              <w:rPr>
                <w:rFonts w:hint="eastAsia" w:ascii="宋体" w:hAnsi="宋体" w:eastAsia="宋体"/>
                <w:szCs w:val="21"/>
              </w:rPr>
              <w:t>校内实训基地</w:t>
            </w:r>
          </w:p>
        </w:tc>
        <w:tc>
          <w:tcPr>
            <w:tcW w:w="0" w:type="auto"/>
            <w:tcBorders>
              <w:top w:val="single" w:color="auto" w:sz="4" w:space="0"/>
              <w:left w:val="nil"/>
              <w:bottom w:val="single" w:color="auto" w:sz="4" w:space="0"/>
              <w:right w:val="single" w:color="auto" w:sz="4" w:space="0"/>
            </w:tcBorders>
            <w:vAlign w:val="center"/>
          </w:tcPr>
          <w:p>
            <w:pPr>
              <w:spacing w:line="500" w:lineRule="atLeast"/>
              <w:jc w:val="center"/>
              <w:rPr>
                <w:rFonts w:ascii="宋体" w:hAnsi="宋体" w:eastAsia="宋体"/>
                <w:szCs w:val="21"/>
              </w:rPr>
            </w:pPr>
            <w:r>
              <w:rPr>
                <w:rFonts w:hint="eastAsia" w:ascii="宋体" w:hAnsi="宋体" w:eastAsia="宋体"/>
                <w:szCs w:val="21"/>
              </w:rPr>
              <w:t>2</w:t>
            </w:r>
          </w:p>
        </w:tc>
        <w:tc>
          <w:tcPr>
            <w:tcW w:w="0" w:type="auto"/>
            <w:tcBorders>
              <w:top w:val="single" w:color="auto" w:sz="4" w:space="0"/>
              <w:left w:val="nil"/>
              <w:bottom w:val="single" w:color="auto" w:sz="4" w:space="0"/>
              <w:right w:val="single" w:color="auto" w:sz="4" w:space="0"/>
            </w:tcBorders>
            <w:vAlign w:val="center"/>
          </w:tcPr>
          <w:p>
            <w:pPr>
              <w:spacing w:line="500" w:lineRule="atLeast"/>
              <w:jc w:val="left"/>
              <w:rPr>
                <w:rFonts w:ascii="宋体" w:hAnsi="宋体" w:eastAsia="宋体"/>
                <w:szCs w:val="21"/>
              </w:rPr>
            </w:pPr>
            <w:r>
              <w:rPr>
                <w:rFonts w:hint="eastAsia" w:ascii="宋体" w:hAnsi="宋体" w:eastAsia="宋体"/>
                <w:szCs w:val="21"/>
              </w:rPr>
              <w:t>创智金融大数据实训基地、跨境电商创新创业实训基地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Borders>
              <w:top w:val="single" w:color="auto" w:sz="4" w:space="0"/>
              <w:left w:val="single" w:color="auto" w:sz="4" w:space="0"/>
              <w:bottom w:val="single" w:color="auto" w:sz="4" w:space="0"/>
              <w:right w:val="single" w:color="auto" w:sz="4" w:space="0"/>
            </w:tcBorders>
            <w:vAlign w:val="center"/>
          </w:tcPr>
          <w:p>
            <w:pPr>
              <w:spacing w:line="500" w:lineRule="atLeast"/>
              <w:jc w:val="center"/>
              <w:rPr>
                <w:rFonts w:ascii="宋体" w:hAnsi="宋体" w:eastAsia="宋体"/>
                <w:szCs w:val="21"/>
              </w:rPr>
            </w:pPr>
            <w:r>
              <w:rPr>
                <w:rFonts w:hint="eastAsia" w:ascii="宋体" w:hAnsi="宋体" w:eastAsia="宋体"/>
                <w:szCs w:val="21"/>
              </w:rPr>
              <w:t>校外实践基地</w:t>
            </w:r>
          </w:p>
        </w:tc>
        <w:tc>
          <w:tcPr>
            <w:tcW w:w="0" w:type="auto"/>
            <w:tcBorders>
              <w:top w:val="single" w:color="auto" w:sz="4" w:space="0"/>
              <w:left w:val="nil"/>
              <w:bottom w:val="single" w:color="auto" w:sz="4" w:space="0"/>
              <w:right w:val="single" w:color="auto" w:sz="4" w:space="0"/>
            </w:tcBorders>
            <w:vAlign w:val="center"/>
          </w:tcPr>
          <w:p>
            <w:pPr>
              <w:spacing w:line="500" w:lineRule="atLeast"/>
              <w:jc w:val="center"/>
              <w:rPr>
                <w:rFonts w:ascii="宋体" w:hAnsi="宋体" w:eastAsia="宋体"/>
                <w:szCs w:val="21"/>
              </w:rPr>
            </w:pPr>
            <w:r>
              <w:rPr>
                <w:rFonts w:hint="eastAsia" w:ascii="宋体" w:hAnsi="宋体" w:eastAsia="宋体"/>
                <w:szCs w:val="21"/>
              </w:rPr>
              <w:t>14</w:t>
            </w:r>
          </w:p>
        </w:tc>
        <w:tc>
          <w:tcPr>
            <w:tcW w:w="0" w:type="auto"/>
            <w:tcBorders>
              <w:top w:val="single" w:color="auto" w:sz="4" w:space="0"/>
              <w:left w:val="nil"/>
              <w:bottom w:val="single" w:color="auto" w:sz="4" w:space="0"/>
              <w:right w:val="single" w:color="auto" w:sz="4" w:space="0"/>
            </w:tcBorders>
            <w:vAlign w:val="center"/>
          </w:tcPr>
          <w:p>
            <w:pPr>
              <w:spacing w:line="500" w:lineRule="atLeast"/>
              <w:jc w:val="left"/>
              <w:rPr>
                <w:rFonts w:ascii="宋体" w:hAnsi="宋体" w:eastAsia="宋体"/>
                <w:szCs w:val="21"/>
              </w:rPr>
            </w:pPr>
            <w:r>
              <w:rPr>
                <w:rFonts w:hint="eastAsia" w:ascii="宋体" w:hAnsi="宋体" w:eastAsia="宋体"/>
                <w:szCs w:val="21"/>
              </w:rPr>
              <w:t>福州顺邦国际贸易有限公司、福州海峡蔬菜批发市场、福建纵腾网络有限公司、</w:t>
            </w:r>
            <w:r>
              <w:rPr>
                <w:rFonts w:ascii="宋体" w:hAnsi="宋体" w:eastAsia="宋体"/>
                <w:szCs w:val="21"/>
              </w:rPr>
              <w:t>福建省农村信用社联合社、东兴证券股份有限公司、宁德市屏南县扶贫办</w:t>
            </w:r>
            <w:r>
              <w:rPr>
                <w:rFonts w:hint="eastAsia" w:ascii="宋体" w:hAnsi="宋体" w:eastAsia="宋体"/>
                <w:szCs w:val="21"/>
              </w:rPr>
              <w:t>等等14家机构。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Borders>
              <w:top w:val="single" w:color="auto" w:sz="4" w:space="0"/>
              <w:left w:val="single" w:color="auto" w:sz="4" w:space="0"/>
              <w:bottom w:val="single" w:color="auto" w:sz="4" w:space="0"/>
              <w:right w:val="single" w:color="auto" w:sz="4" w:space="0"/>
            </w:tcBorders>
            <w:vAlign w:val="center"/>
          </w:tcPr>
          <w:p>
            <w:pPr>
              <w:spacing w:line="500" w:lineRule="atLeast"/>
              <w:jc w:val="center"/>
              <w:rPr>
                <w:rFonts w:ascii="宋体" w:hAnsi="宋体" w:eastAsia="宋体"/>
                <w:szCs w:val="21"/>
              </w:rPr>
            </w:pPr>
            <w:r>
              <w:rPr>
                <w:rFonts w:hint="eastAsia" w:ascii="宋体" w:hAnsi="宋体" w:eastAsia="宋体"/>
                <w:szCs w:val="21"/>
              </w:rPr>
              <w:t>普惠金融创新基地</w:t>
            </w:r>
          </w:p>
        </w:tc>
        <w:tc>
          <w:tcPr>
            <w:tcW w:w="0" w:type="auto"/>
            <w:tcBorders>
              <w:top w:val="single" w:color="auto" w:sz="4" w:space="0"/>
              <w:left w:val="nil"/>
              <w:bottom w:val="single" w:color="auto" w:sz="4" w:space="0"/>
              <w:right w:val="single" w:color="auto" w:sz="4" w:space="0"/>
            </w:tcBorders>
            <w:vAlign w:val="center"/>
          </w:tcPr>
          <w:p>
            <w:pPr>
              <w:spacing w:line="500" w:lineRule="atLeast"/>
              <w:jc w:val="center"/>
              <w:rPr>
                <w:rFonts w:ascii="宋体" w:hAnsi="宋体" w:eastAsia="宋体"/>
                <w:szCs w:val="21"/>
              </w:rPr>
            </w:pPr>
            <w:r>
              <w:rPr>
                <w:rFonts w:hint="eastAsia" w:ascii="宋体" w:hAnsi="宋体" w:eastAsia="宋体"/>
                <w:szCs w:val="21"/>
              </w:rPr>
              <w:t>9</w:t>
            </w:r>
          </w:p>
        </w:tc>
        <w:tc>
          <w:tcPr>
            <w:tcW w:w="0" w:type="auto"/>
            <w:tcBorders>
              <w:top w:val="single" w:color="auto" w:sz="4" w:space="0"/>
              <w:left w:val="nil"/>
              <w:bottom w:val="single" w:color="auto" w:sz="4" w:space="0"/>
              <w:right w:val="single" w:color="auto" w:sz="4" w:space="0"/>
            </w:tcBorders>
            <w:vAlign w:val="center"/>
          </w:tcPr>
          <w:p>
            <w:pPr>
              <w:spacing w:line="500" w:lineRule="atLeast"/>
              <w:jc w:val="left"/>
              <w:rPr>
                <w:rFonts w:ascii="宋体" w:hAnsi="宋体" w:eastAsia="宋体"/>
                <w:szCs w:val="21"/>
              </w:rPr>
            </w:pPr>
            <w:r>
              <w:rPr>
                <w:rFonts w:hint="eastAsia" w:ascii="宋体" w:hAnsi="宋体" w:eastAsia="宋体"/>
                <w:szCs w:val="21"/>
              </w:rPr>
              <w:t>厦门农商银行、连江县农信联社、南安农商银行、仙游县农信联社、尤溪县农信联社、龙岩农商银行、南平市建阳区农信联社、屏南县农信联社、漳州农商银行等9家金融机构。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Borders>
              <w:top w:val="single" w:color="auto" w:sz="4" w:space="0"/>
              <w:left w:val="single" w:color="auto" w:sz="4" w:space="0"/>
              <w:bottom w:val="single" w:color="auto" w:sz="4" w:space="0"/>
              <w:right w:val="single" w:color="auto" w:sz="4" w:space="0"/>
            </w:tcBorders>
            <w:vAlign w:val="center"/>
          </w:tcPr>
          <w:p>
            <w:pPr>
              <w:spacing w:line="500" w:lineRule="atLeast"/>
              <w:jc w:val="center"/>
              <w:rPr>
                <w:rFonts w:ascii="宋体" w:hAnsi="宋体" w:eastAsia="宋体"/>
                <w:szCs w:val="21"/>
              </w:rPr>
            </w:pPr>
            <w:r>
              <w:rPr>
                <w:rFonts w:hint="eastAsia" w:ascii="宋体" w:hAnsi="宋体" w:eastAsia="宋体"/>
                <w:szCs w:val="21"/>
              </w:rPr>
              <w:t>普惠金融固定观察点</w:t>
            </w:r>
          </w:p>
        </w:tc>
        <w:tc>
          <w:tcPr>
            <w:tcW w:w="0" w:type="auto"/>
            <w:tcBorders>
              <w:top w:val="single" w:color="auto" w:sz="4" w:space="0"/>
              <w:left w:val="nil"/>
              <w:bottom w:val="single" w:color="auto" w:sz="4" w:space="0"/>
              <w:right w:val="single" w:color="auto" w:sz="4" w:space="0"/>
            </w:tcBorders>
            <w:vAlign w:val="center"/>
          </w:tcPr>
          <w:p>
            <w:pPr>
              <w:spacing w:line="500" w:lineRule="atLeast"/>
              <w:jc w:val="center"/>
              <w:rPr>
                <w:rFonts w:ascii="宋体" w:hAnsi="宋体" w:eastAsia="宋体"/>
                <w:szCs w:val="21"/>
              </w:rPr>
            </w:pPr>
            <w:r>
              <w:rPr>
                <w:rFonts w:hint="eastAsia" w:ascii="宋体" w:hAnsi="宋体" w:eastAsia="宋体"/>
                <w:szCs w:val="21"/>
              </w:rPr>
              <w:t>44</w:t>
            </w:r>
          </w:p>
        </w:tc>
        <w:tc>
          <w:tcPr>
            <w:tcW w:w="0" w:type="auto"/>
            <w:tcBorders>
              <w:top w:val="single" w:color="auto" w:sz="4" w:space="0"/>
              <w:left w:val="nil"/>
              <w:bottom w:val="single" w:color="auto" w:sz="4" w:space="0"/>
              <w:right w:val="single" w:color="auto" w:sz="4" w:space="0"/>
            </w:tcBorders>
            <w:vAlign w:val="center"/>
          </w:tcPr>
          <w:p>
            <w:pPr>
              <w:spacing w:line="500" w:lineRule="atLeast"/>
              <w:jc w:val="left"/>
              <w:rPr>
                <w:rFonts w:ascii="宋体" w:hAnsi="宋体" w:eastAsia="宋体"/>
                <w:szCs w:val="21"/>
              </w:rPr>
            </w:pPr>
            <w:r>
              <w:rPr>
                <w:rFonts w:hint="eastAsia" w:ascii="宋体" w:hAnsi="宋体" w:eastAsia="宋体"/>
                <w:szCs w:val="21"/>
              </w:rPr>
              <w:t>永泰县农信联社大洋信用社、沙县农商银行小吃支行、建宁县农信联社客坊信用社、永安县农信联社大陶信用社、南平市建阳区农信联社营业部等等44家各类农信社、农商行（支行）、营业部等机构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Borders>
              <w:top w:val="single" w:color="auto" w:sz="4" w:space="0"/>
              <w:left w:val="single" w:color="auto" w:sz="4" w:space="0"/>
              <w:bottom w:val="single" w:color="auto" w:sz="4" w:space="0"/>
              <w:right w:val="single" w:color="auto" w:sz="4" w:space="0"/>
            </w:tcBorders>
            <w:vAlign w:val="center"/>
          </w:tcPr>
          <w:p>
            <w:pPr>
              <w:spacing w:line="500" w:lineRule="atLeast"/>
              <w:jc w:val="center"/>
              <w:rPr>
                <w:rFonts w:ascii="宋体" w:hAnsi="宋体" w:eastAsia="宋体"/>
                <w:szCs w:val="21"/>
              </w:rPr>
            </w:pPr>
            <w:r>
              <w:rPr>
                <w:rFonts w:hint="eastAsia" w:ascii="宋体" w:hAnsi="宋体" w:eastAsia="宋体"/>
                <w:szCs w:val="21"/>
              </w:rPr>
              <w:t>农村金融观察点</w:t>
            </w:r>
          </w:p>
        </w:tc>
        <w:tc>
          <w:tcPr>
            <w:tcW w:w="0" w:type="auto"/>
            <w:tcBorders>
              <w:top w:val="single" w:color="auto" w:sz="4" w:space="0"/>
              <w:left w:val="nil"/>
              <w:bottom w:val="single" w:color="auto" w:sz="4" w:space="0"/>
              <w:right w:val="single" w:color="auto" w:sz="4" w:space="0"/>
            </w:tcBorders>
            <w:vAlign w:val="center"/>
          </w:tcPr>
          <w:p>
            <w:pPr>
              <w:spacing w:line="500" w:lineRule="atLeast"/>
              <w:jc w:val="center"/>
              <w:rPr>
                <w:rFonts w:ascii="宋体" w:hAnsi="宋体" w:eastAsia="宋体"/>
                <w:szCs w:val="21"/>
              </w:rPr>
            </w:pPr>
            <w:r>
              <w:rPr>
                <w:rFonts w:hint="eastAsia" w:ascii="宋体" w:hAnsi="宋体" w:eastAsia="宋体"/>
                <w:szCs w:val="21"/>
              </w:rPr>
              <w:t>1</w:t>
            </w:r>
          </w:p>
        </w:tc>
        <w:tc>
          <w:tcPr>
            <w:tcW w:w="0" w:type="auto"/>
            <w:tcBorders>
              <w:top w:val="single" w:color="auto" w:sz="4" w:space="0"/>
              <w:left w:val="nil"/>
              <w:bottom w:val="single" w:color="auto" w:sz="4" w:space="0"/>
              <w:right w:val="single" w:color="auto" w:sz="4" w:space="0"/>
            </w:tcBorders>
            <w:vAlign w:val="center"/>
          </w:tcPr>
          <w:p>
            <w:pPr>
              <w:spacing w:line="500" w:lineRule="atLeast"/>
              <w:jc w:val="left"/>
              <w:rPr>
                <w:rFonts w:ascii="宋体" w:hAnsi="宋体" w:eastAsia="宋体"/>
                <w:szCs w:val="21"/>
              </w:rPr>
            </w:pPr>
            <w:r>
              <w:rPr>
                <w:rFonts w:hint="eastAsia" w:ascii="宋体" w:hAnsi="宋体" w:eastAsia="宋体"/>
                <w:szCs w:val="21"/>
              </w:rPr>
              <w:t>宁德市屏南县扶贫办</w:t>
            </w:r>
          </w:p>
        </w:tc>
      </w:tr>
    </w:tbl>
    <w:p>
      <w:pPr>
        <w:spacing w:line="500" w:lineRule="atLeast"/>
        <w:rPr>
          <w:rFonts w:ascii="宋体" w:hAnsi="宋体" w:eastAsia="宋体"/>
          <w:b/>
          <w:bCs/>
          <w:sz w:val="24"/>
        </w:rPr>
      </w:pPr>
    </w:p>
    <w:p>
      <w:pPr>
        <w:spacing w:line="500" w:lineRule="atLeast"/>
        <w:jc w:val="center"/>
        <w:rPr>
          <w:rFonts w:ascii="宋体" w:hAnsi="宋体" w:eastAsia="宋体"/>
          <w:b/>
          <w:bCs/>
          <w:sz w:val="24"/>
        </w:rPr>
      </w:pPr>
      <w:bookmarkStart w:id="8" w:name="OLE_LINK29"/>
      <w:bookmarkStart w:id="9" w:name="OLE_LINK30"/>
      <w:r>
        <w:rPr>
          <w:rFonts w:hint="eastAsia" w:ascii="宋体" w:hAnsi="宋体" w:eastAsia="宋体"/>
          <w:b/>
          <w:bCs/>
          <w:sz w:val="24"/>
        </w:rPr>
        <w:t>表</w:t>
      </w:r>
      <w:r>
        <w:rPr>
          <w:rFonts w:ascii="宋体" w:hAnsi="宋体" w:eastAsia="宋体"/>
          <w:b/>
          <w:bCs/>
          <w:sz w:val="24"/>
        </w:rPr>
        <w:t>9</w:t>
      </w:r>
      <w:r>
        <w:rPr>
          <w:rFonts w:hint="eastAsia" w:ascii="宋体" w:hAnsi="宋体" w:eastAsia="宋体"/>
          <w:b/>
          <w:bCs/>
          <w:sz w:val="24"/>
        </w:rPr>
        <w:t xml:space="preserve"> 本学位点科研平台情况</w:t>
      </w:r>
      <w:bookmarkEnd w:id="8"/>
      <w:bookmarkEnd w:id="9"/>
    </w:p>
    <w:tbl>
      <w:tblPr>
        <w:tblStyle w:val="1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383"/>
        <w:gridCol w:w="1636"/>
        <w:gridCol w:w="2270"/>
        <w:gridCol w:w="1175"/>
        <w:gridCol w:w="668"/>
        <w:gridCol w:w="569"/>
        <w:gridCol w:w="789"/>
        <w:gridCol w:w="8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4" w:hRule="atLeast"/>
          <w:jc w:val="center"/>
        </w:trPr>
        <w:tc>
          <w:tcPr>
            <w:tcW w:w="5000" w:type="pct"/>
            <w:gridSpan w:val="8"/>
            <w:vAlign w:val="center"/>
          </w:tcPr>
          <w:p>
            <w:pPr>
              <w:pStyle w:val="18"/>
              <w:spacing w:line="500" w:lineRule="atLeast"/>
              <w:jc w:val="center"/>
              <w:rPr>
                <w:rFonts w:ascii="宋体" w:hAnsi="宋体" w:eastAsia="宋体"/>
                <w:b/>
              </w:rPr>
            </w:pPr>
            <w:r>
              <w:rPr>
                <w:rStyle w:val="19"/>
                <w:rFonts w:ascii="宋体" w:hAnsi="宋体" w:eastAsia="宋体"/>
                <w:sz w:val="24"/>
                <w:szCs w:val="24"/>
                <w:lang w:bidi="ar"/>
              </w:rPr>
              <w:t>重点实验室、基地、中心、重点学科、研究生教育创新基地等平台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4" w:hRule="atLeast"/>
          <w:jc w:val="center"/>
        </w:trPr>
        <w:tc>
          <w:tcPr>
            <w:tcW w:w="231" w:type="pct"/>
            <w:vAlign w:val="center"/>
          </w:tcPr>
          <w:p>
            <w:pPr>
              <w:pStyle w:val="18"/>
              <w:spacing w:before="70" w:line="500" w:lineRule="atLeast"/>
              <w:ind w:left="56" w:right="37"/>
              <w:jc w:val="center"/>
              <w:rPr>
                <w:rFonts w:ascii="宋体" w:hAnsi="宋体" w:eastAsia="宋体"/>
                <w:b/>
              </w:rPr>
            </w:pPr>
            <w:r>
              <w:rPr>
                <w:rFonts w:hint="eastAsia" w:ascii="宋体" w:hAnsi="宋体" w:eastAsia="宋体"/>
                <w:b/>
              </w:rPr>
              <w:t>序号</w:t>
            </w:r>
          </w:p>
        </w:tc>
        <w:tc>
          <w:tcPr>
            <w:tcW w:w="984" w:type="pct"/>
            <w:vAlign w:val="center"/>
          </w:tcPr>
          <w:p>
            <w:pPr>
              <w:pStyle w:val="18"/>
              <w:spacing w:before="70" w:line="500" w:lineRule="atLeast"/>
              <w:ind w:left="182" w:right="153"/>
              <w:jc w:val="center"/>
              <w:rPr>
                <w:rFonts w:ascii="宋体" w:hAnsi="宋体" w:eastAsia="宋体"/>
                <w:b/>
              </w:rPr>
            </w:pPr>
            <w:r>
              <w:rPr>
                <w:rFonts w:hint="eastAsia" w:ascii="宋体" w:hAnsi="宋体" w:eastAsia="宋体"/>
                <w:b/>
              </w:rPr>
              <w:t>平台类别</w:t>
            </w:r>
          </w:p>
        </w:tc>
        <w:tc>
          <w:tcPr>
            <w:tcW w:w="1364" w:type="pct"/>
            <w:vAlign w:val="center"/>
          </w:tcPr>
          <w:p>
            <w:pPr>
              <w:pStyle w:val="18"/>
              <w:spacing w:before="70" w:line="500" w:lineRule="atLeast"/>
              <w:jc w:val="center"/>
              <w:rPr>
                <w:rFonts w:ascii="宋体" w:hAnsi="宋体" w:eastAsia="宋体"/>
                <w:b/>
              </w:rPr>
            </w:pPr>
            <w:r>
              <w:rPr>
                <w:rFonts w:hint="eastAsia" w:ascii="宋体" w:hAnsi="宋体" w:eastAsia="宋体"/>
                <w:b/>
              </w:rPr>
              <w:t>平台名称</w:t>
            </w:r>
          </w:p>
        </w:tc>
        <w:tc>
          <w:tcPr>
            <w:tcW w:w="706" w:type="pct"/>
            <w:vAlign w:val="center"/>
          </w:tcPr>
          <w:p>
            <w:pPr>
              <w:pStyle w:val="18"/>
              <w:spacing w:before="70" w:line="500" w:lineRule="atLeast"/>
              <w:ind w:left="29"/>
              <w:jc w:val="center"/>
              <w:rPr>
                <w:rFonts w:ascii="宋体" w:hAnsi="宋体" w:eastAsia="宋体"/>
                <w:b/>
              </w:rPr>
            </w:pPr>
            <w:r>
              <w:rPr>
                <w:rFonts w:hint="eastAsia" w:ascii="宋体" w:hAnsi="宋体" w:eastAsia="宋体"/>
                <w:b/>
              </w:rPr>
              <w:t>批准部门</w:t>
            </w:r>
          </w:p>
        </w:tc>
        <w:tc>
          <w:tcPr>
            <w:tcW w:w="400" w:type="pct"/>
            <w:vAlign w:val="center"/>
          </w:tcPr>
          <w:p>
            <w:pPr>
              <w:pStyle w:val="18"/>
              <w:spacing w:line="500" w:lineRule="atLeast"/>
              <w:ind w:left="153"/>
              <w:jc w:val="center"/>
              <w:rPr>
                <w:rFonts w:ascii="宋体" w:hAnsi="宋体" w:eastAsia="宋体"/>
                <w:b/>
              </w:rPr>
            </w:pPr>
            <w:r>
              <w:rPr>
                <w:rFonts w:hint="eastAsia" w:ascii="宋体" w:hAnsi="宋体" w:eastAsia="宋体"/>
                <w:b/>
              </w:rPr>
              <w:t>批准</w:t>
            </w:r>
          </w:p>
          <w:p>
            <w:pPr>
              <w:pStyle w:val="18"/>
              <w:spacing w:line="500" w:lineRule="atLeast"/>
              <w:ind w:left="153"/>
              <w:jc w:val="center"/>
              <w:rPr>
                <w:rFonts w:ascii="宋体" w:hAnsi="宋体" w:eastAsia="宋体"/>
                <w:b/>
              </w:rPr>
            </w:pPr>
            <w:r>
              <w:rPr>
                <w:rFonts w:hint="eastAsia" w:ascii="宋体" w:hAnsi="宋体" w:eastAsia="宋体"/>
                <w:b/>
              </w:rPr>
              <w:t>年度</w:t>
            </w:r>
          </w:p>
        </w:tc>
        <w:tc>
          <w:tcPr>
            <w:tcW w:w="342" w:type="pct"/>
            <w:vAlign w:val="center"/>
          </w:tcPr>
          <w:p>
            <w:pPr>
              <w:pStyle w:val="18"/>
              <w:spacing w:line="500" w:lineRule="atLeast"/>
              <w:ind w:left="119"/>
              <w:jc w:val="center"/>
              <w:rPr>
                <w:rFonts w:ascii="宋体" w:hAnsi="宋体" w:eastAsia="宋体"/>
                <w:b/>
              </w:rPr>
            </w:pPr>
            <w:r>
              <w:rPr>
                <w:rFonts w:hint="eastAsia" w:ascii="宋体" w:hAnsi="宋体" w:eastAsia="宋体"/>
                <w:b/>
              </w:rPr>
              <w:t>参与单</w:t>
            </w:r>
          </w:p>
          <w:p>
            <w:pPr>
              <w:pStyle w:val="18"/>
              <w:spacing w:line="500" w:lineRule="atLeast"/>
              <w:ind w:left="119"/>
              <w:jc w:val="center"/>
              <w:rPr>
                <w:rFonts w:ascii="宋体" w:hAnsi="宋体" w:eastAsia="宋体"/>
                <w:b/>
              </w:rPr>
            </w:pPr>
            <w:r>
              <w:rPr>
                <w:rFonts w:hint="eastAsia" w:ascii="宋体" w:hAnsi="宋体" w:eastAsia="宋体"/>
                <w:b/>
              </w:rPr>
              <w:t>位情况</w:t>
            </w:r>
          </w:p>
        </w:tc>
        <w:tc>
          <w:tcPr>
            <w:tcW w:w="474" w:type="pct"/>
            <w:vAlign w:val="center"/>
          </w:tcPr>
          <w:p>
            <w:pPr>
              <w:pStyle w:val="18"/>
              <w:spacing w:line="500" w:lineRule="atLeast"/>
              <w:ind w:left="189"/>
              <w:jc w:val="center"/>
              <w:rPr>
                <w:rFonts w:ascii="宋体" w:hAnsi="宋体" w:eastAsia="宋体"/>
                <w:b/>
              </w:rPr>
            </w:pPr>
            <w:r>
              <w:rPr>
                <w:rFonts w:hint="eastAsia" w:ascii="宋体" w:hAnsi="宋体" w:eastAsia="宋体"/>
                <w:b/>
              </w:rPr>
              <w:t>参与学</w:t>
            </w:r>
          </w:p>
          <w:p>
            <w:pPr>
              <w:pStyle w:val="18"/>
              <w:spacing w:line="500" w:lineRule="atLeast"/>
              <w:ind w:left="189"/>
              <w:jc w:val="center"/>
              <w:rPr>
                <w:rFonts w:ascii="宋体" w:hAnsi="宋体" w:eastAsia="宋体"/>
                <w:b/>
              </w:rPr>
            </w:pPr>
            <w:r>
              <w:rPr>
                <w:rFonts w:hint="eastAsia" w:ascii="宋体" w:hAnsi="宋体" w:eastAsia="宋体"/>
                <w:b/>
              </w:rPr>
              <w:t>科情况</w:t>
            </w:r>
          </w:p>
        </w:tc>
        <w:tc>
          <w:tcPr>
            <w:tcW w:w="496" w:type="pct"/>
            <w:vAlign w:val="center"/>
          </w:tcPr>
          <w:p>
            <w:pPr>
              <w:pStyle w:val="18"/>
              <w:spacing w:line="500" w:lineRule="atLeast"/>
              <w:ind w:left="231"/>
              <w:jc w:val="center"/>
              <w:rPr>
                <w:rFonts w:ascii="宋体" w:hAnsi="宋体" w:eastAsia="宋体"/>
                <w:b/>
              </w:rPr>
            </w:pPr>
            <w:r>
              <w:rPr>
                <w:rFonts w:hint="eastAsia" w:ascii="宋体" w:hAnsi="宋体" w:eastAsia="宋体"/>
                <w:b/>
              </w:rPr>
              <w:t>评估</w:t>
            </w:r>
          </w:p>
          <w:p>
            <w:pPr>
              <w:pStyle w:val="18"/>
              <w:spacing w:line="500" w:lineRule="atLeast"/>
              <w:ind w:left="231"/>
              <w:jc w:val="center"/>
              <w:rPr>
                <w:rFonts w:ascii="宋体" w:hAnsi="宋体" w:eastAsia="宋体"/>
                <w:b/>
              </w:rPr>
            </w:pPr>
            <w:r>
              <w:rPr>
                <w:rFonts w:hint="eastAsia" w:ascii="宋体" w:hAnsi="宋体" w:eastAsia="宋体"/>
                <w:b/>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9" w:hRule="atLeast"/>
          <w:jc w:val="center"/>
        </w:trPr>
        <w:tc>
          <w:tcPr>
            <w:tcW w:w="231" w:type="pct"/>
            <w:vAlign w:val="center"/>
          </w:tcPr>
          <w:p>
            <w:pPr>
              <w:pStyle w:val="18"/>
              <w:spacing w:line="500" w:lineRule="atLeast"/>
              <w:jc w:val="center"/>
              <w:rPr>
                <w:rFonts w:ascii="宋体" w:hAnsi="宋体" w:eastAsia="宋体"/>
              </w:rPr>
            </w:pPr>
          </w:p>
          <w:p>
            <w:pPr>
              <w:pStyle w:val="18"/>
              <w:spacing w:before="142" w:line="500" w:lineRule="atLeast"/>
              <w:ind w:left="20"/>
              <w:jc w:val="center"/>
              <w:rPr>
                <w:rFonts w:ascii="宋体" w:hAnsi="宋体" w:eastAsia="宋体"/>
              </w:rPr>
            </w:pPr>
            <w:r>
              <w:rPr>
                <w:rFonts w:ascii="宋体" w:hAnsi="宋体" w:eastAsia="宋体"/>
              </w:rPr>
              <w:t>1</w:t>
            </w:r>
          </w:p>
        </w:tc>
        <w:tc>
          <w:tcPr>
            <w:tcW w:w="984" w:type="pct"/>
            <w:vAlign w:val="center"/>
          </w:tcPr>
          <w:p>
            <w:pPr>
              <w:pStyle w:val="18"/>
              <w:spacing w:before="155" w:line="500" w:lineRule="atLeast"/>
              <w:ind w:right="153"/>
              <w:jc w:val="center"/>
              <w:rPr>
                <w:rFonts w:ascii="宋体" w:hAnsi="宋体" w:eastAsia="宋体"/>
              </w:rPr>
            </w:pPr>
            <w:r>
              <w:rPr>
                <w:rFonts w:ascii="宋体" w:hAnsi="宋体" w:eastAsia="宋体"/>
              </w:rPr>
              <w:t>部委级平台</w:t>
            </w:r>
          </w:p>
        </w:tc>
        <w:tc>
          <w:tcPr>
            <w:tcW w:w="1364" w:type="pct"/>
            <w:vAlign w:val="center"/>
          </w:tcPr>
          <w:p>
            <w:pPr>
              <w:pStyle w:val="18"/>
              <w:spacing w:before="2" w:line="500" w:lineRule="atLeast"/>
              <w:ind w:right="85"/>
              <w:jc w:val="center"/>
              <w:rPr>
                <w:rFonts w:ascii="宋体" w:hAnsi="宋体" w:eastAsia="宋体"/>
              </w:rPr>
            </w:pPr>
            <w:r>
              <w:rPr>
                <w:rFonts w:ascii="宋体" w:hAnsi="宋体" w:eastAsia="宋体"/>
              </w:rPr>
              <w:t>南太平洋岛国研</w:t>
            </w:r>
            <w:r>
              <w:rPr>
                <w:rFonts w:ascii="宋体" w:hAnsi="宋体" w:eastAsia="宋体"/>
                <w:spacing w:val="-18"/>
              </w:rPr>
              <w:t>究中心</w:t>
            </w:r>
            <w:r>
              <w:rPr>
                <w:rFonts w:ascii="宋体" w:hAnsi="宋体" w:eastAsia="宋体"/>
              </w:rPr>
              <w:t>（</w:t>
            </w:r>
            <w:r>
              <w:rPr>
                <w:rFonts w:ascii="宋体" w:hAnsi="宋体" w:eastAsia="宋体"/>
                <w:spacing w:val="-5"/>
              </w:rPr>
              <w:t>教育部国</w:t>
            </w:r>
            <w:r>
              <w:rPr>
                <w:rFonts w:ascii="宋体" w:hAnsi="宋体" w:eastAsia="宋体"/>
              </w:rPr>
              <w:t>别与区域研究中心）</w:t>
            </w:r>
          </w:p>
        </w:tc>
        <w:tc>
          <w:tcPr>
            <w:tcW w:w="706" w:type="pct"/>
            <w:vAlign w:val="center"/>
          </w:tcPr>
          <w:p>
            <w:pPr>
              <w:pStyle w:val="18"/>
              <w:spacing w:line="500" w:lineRule="atLeast"/>
              <w:jc w:val="center"/>
              <w:rPr>
                <w:rFonts w:ascii="宋体" w:hAnsi="宋体" w:eastAsia="宋体"/>
                <w:sz w:val="20"/>
              </w:rPr>
            </w:pPr>
          </w:p>
          <w:p>
            <w:pPr>
              <w:pStyle w:val="18"/>
              <w:spacing w:before="155" w:line="500" w:lineRule="atLeast"/>
              <w:ind w:left="29"/>
              <w:jc w:val="center"/>
              <w:rPr>
                <w:rFonts w:ascii="宋体" w:hAnsi="宋体" w:eastAsia="宋体"/>
              </w:rPr>
            </w:pPr>
            <w:r>
              <w:rPr>
                <w:rFonts w:ascii="宋体" w:hAnsi="宋体" w:eastAsia="宋体"/>
              </w:rPr>
              <w:t>教育部</w:t>
            </w:r>
          </w:p>
        </w:tc>
        <w:tc>
          <w:tcPr>
            <w:tcW w:w="400" w:type="pct"/>
            <w:vAlign w:val="center"/>
          </w:tcPr>
          <w:p>
            <w:pPr>
              <w:pStyle w:val="18"/>
              <w:spacing w:line="500" w:lineRule="atLeast"/>
              <w:jc w:val="center"/>
              <w:rPr>
                <w:rFonts w:ascii="宋体" w:hAnsi="宋体" w:eastAsia="宋体"/>
              </w:rPr>
            </w:pPr>
          </w:p>
          <w:p>
            <w:pPr>
              <w:pStyle w:val="18"/>
              <w:spacing w:before="142" w:line="500" w:lineRule="atLeast"/>
              <w:ind w:left="134" w:right="104"/>
              <w:jc w:val="center"/>
              <w:rPr>
                <w:rFonts w:ascii="宋体" w:hAnsi="宋体" w:eastAsia="宋体"/>
              </w:rPr>
            </w:pPr>
            <w:r>
              <w:rPr>
                <w:rFonts w:ascii="宋体" w:hAnsi="宋体" w:eastAsia="宋体"/>
              </w:rPr>
              <w:t>2017</w:t>
            </w:r>
          </w:p>
        </w:tc>
        <w:tc>
          <w:tcPr>
            <w:tcW w:w="342" w:type="pct"/>
            <w:vAlign w:val="center"/>
          </w:tcPr>
          <w:p>
            <w:pPr>
              <w:pStyle w:val="18"/>
              <w:spacing w:line="500" w:lineRule="atLeast"/>
              <w:jc w:val="center"/>
              <w:rPr>
                <w:rFonts w:ascii="宋体" w:hAnsi="宋体" w:eastAsia="宋体"/>
              </w:rPr>
            </w:pPr>
          </w:p>
          <w:p>
            <w:pPr>
              <w:pStyle w:val="18"/>
              <w:spacing w:before="142" w:line="500" w:lineRule="atLeast"/>
              <w:ind w:left="47" w:right="18"/>
              <w:jc w:val="center"/>
              <w:rPr>
                <w:rFonts w:ascii="宋体" w:hAnsi="宋体" w:eastAsia="宋体"/>
              </w:rPr>
            </w:pPr>
            <w:r>
              <w:rPr>
                <w:rFonts w:ascii="宋体" w:hAnsi="宋体" w:eastAsia="宋体"/>
              </w:rPr>
              <w:t>1(1)</w:t>
            </w:r>
          </w:p>
        </w:tc>
        <w:tc>
          <w:tcPr>
            <w:tcW w:w="474" w:type="pct"/>
            <w:vAlign w:val="center"/>
          </w:tcPr>
          <w:p>
            <w:pPr>
              <w:pStyle w:val="18"/>
              <w:spacing w:line="500" w:lineRule="atLeast"/>
              <w:jc w:val="center"/>
              <w:rPr>
                <w:rFonts w:ascii="宋体" w:hAnsi="宋体" w:eastAsia="宋体"/>
              </w:rPr>
            </w:pPr>
          </w:p>
          <w:p>
            <w:pPr>
              <w:pStyle w:val="18"/>
              <w:spacing w:before="142" w:line="500" w:lineRule="atLeast"/>
              <w:ind w:left="29"/>
              <w:jc w:val="center"/>
              <w:rPr>
                <w:rFonts w:ascii="宋体" w:hAnsi="宋体" w:eastAsia="宋体"/>
              </w:rPr>
            </w:pPr>
            <w:r>
              <w:rPr>
                <w:rFonts w:ascii="宋体" w:hAnsi="宋体" w:eastAsia="宋体"/>
              </w:rPr>
              <w:t>2(50%)</w:t>
            </w:r>
          </w:p>
        </w:tc>
        <w:tc>
          <w:tcPr>
            <w:tcW w:w="496" w:type="pct"/>
            <w:vAlign w:val="center"/>
          </w:tcPr>
          <w:p>
            <w:pPr>
              <w:pStyle w:val="18"/>
              <w:spacing w:before="139" w:line="500" w:lineRule="atLeast"/>
              <w:ind w:left="127" w:right="85"/>
              <w:jc w:val="center"/>
              <w:rPr>
                <w:rFonts w:ascii="宋体" w:hAnsi="宋体" w:eastAsia="宋体"/>
              </w:rPr>
            </w:pPr>
            <w:r>
              <w:rPr>
                <w:rFonts w:ascii="宋体" w:hAnsi="宋体" w:eastAsia="宋体"/>
              </w:rPr>
              <w:t>教育部评估通过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7" w:hRule="atLeast"/>
          <w:jc w:val="center"/>
        </w:trPr>
        <w:tc>
          <w:tcPr>
            <w:tcW w:w="231" w:type="pct"/>
            <w:vAlign w:val="center"/>
          </w:tcPr>
          <w:p>
            <w:pPr>
              <w:pStyle w:val="18"/>
              <w:spacing w:before="5" w:line="500" w:lineRule="atLeast"/>
              <w:jc w:val="center"/>
              <w:rPr>
                <w:rFonts w:ascii="宋体" w:hAnsi="宋体" w:eastAsia="宋体"/>
              </w:rPr>
            </w:pPr>
          </w:p>
          <w:p>
            <w:pPr>
              <w:pStyle w:val="18"/>
              <w:spacing w:before="1" w:line="500" w:lineRule="atLeast"/>
              <w:ind w:left="20"/>
              <w:jc w:val="center"/>
              <w:rPr>
                <w:rFonts w:ascii="宋体" w:hAnsi="宋体" w:eastAsia="宋体"/>
              </w:rPr>
            </w:pPr>
            <w:r>
              <w:rPr>
                <w:rFonts w:ascii="宋体" w:hAnsi="宋体" w:eastAsia="宋体"/>
              </w:rPr>
              <w:t>2</w:t>
            </w:r>
          </w:p>
        </w:tc>
        <w:tc>
          <w:tcPr>
            <w:tcW w:w="984" w:type="pct"/>
            <w:vAlign w:val="center"/>
          </w:tcPr>
          <w:p>
            <w:pPr>
              <w:pStyle w:val="18"/>
              <w:spacing w:before="2" w:line="500" w:lineRule="atLeast"/>
              <w:ind w:right="153"/>
              <w:jc w:val="center"/>
              <w:rPr>
                <w:rFonts w:ascii="宋体" w:hAnsi="宋体" w:eastAsia="宋体"/>
              </w:rPr>
            </w:pPr>
            <w:r>
              <w:rPr>
                <w:rFonts w:ascii="宋体" w:hAnsi="宋体" w:eastAsia="宋体"/>
              </w:rPr>
              <w:t>福建省高校人文社会科学研究基地</w:t>
            </w:r>
          </w:p>
        </w:tc>
        <w:tc>
          <w:tcPr>
            <w:tcW w:w="1364" w:type="pct"/>
            <w:vAlign w:val="center"/>
          </w:tcPr>
          <w:p>
            <w:pPr>
              <w:pStyle w:val="18"/>
              <w:spacing w:before="139" w:line="500" w:lineRule="atLeast"/>
              <w:ind w:right="164"/>
              <w:jc w:val="center"/>
              <w:rPr>
                <w:rFonts w:ascii="宋体" w:hAnsi="宋体" w:eastAsia="宋体"/>
              </w:rPr>
            </w:pPr>
            <w:r>
              <w:rPr>
                <w:rFonts w:ascii="宋体" w:hAnsi="宋体" w:eastAsia="宋体"/>
              </w:rPr>
              <w:t>海峡两岸休闲农业发展研究中心</w:t>
            </w:r>
          </w:p>
        </w:tc>
        <w:tc>
          <w:tcPr>
            <w:tcW w:w="706" w:type="pct"/>
            <w:vAlign w:val="center"/>
          </w:tcPr>
          <w:p>
            <w:pPr>
              <w:pStyle w:val="18"/>
              <w:spacing w:before="139" w:line="500" w:lineRule="atLeast"/>
              <w:ind w:right="161"/>
              <w:jc w:val="center"/>
              <w:rPr>
                <w:rFonts w:ascii="宋体" w:hAnsi="宋体" w:eastAsia="宋体"/>
              </w:rPr>
            </w:pPr>
            <w:r>
              <w:rPr>
                <w:rFonts w:ascii="宋体" w:hAnsi="宋体" w:eastAsia="宋体"/>
              </w:rPr>
              <w:t>福建省教育厅</w:t>
            </w:r>
          </w:p>
        </w:tc>
        <w:tc>
          <w:tcPr>
            <w:tcW w:w="400" w:type="pct"/>
            <w:vAlign w:val="center"/>
          </w:tcPr>
          <w:p>
            <w:pPr>
              <w:pStyle w:val="18"/>
              <w:spacing w:before="1" w:line="500" w:lineRule="atLeast"/>
              <w:ind w:right="104"/>
              <w:jc w:val="center"/>
              <w:rPr>
                <w:rFonts w:ascii="宋体" w:hAnsi="宋体" w:eastAsia="宋体"/>
              </w:rPr>
            </w:pPr>
            <w:r>
              <w:rPr>
                <w:rFonts w:ascii="宋体" w:hAnsi="宋体" w:eastAsia="宋体"/>
              </w:rPr>
              <w:t>2014</w:t>
            </w:r>
          </w:p>
        </w:tc>
        <w:tc>
          <w:tcPr>
            <w:tcW w:w="342" w:type="pct"/>
            <w:vAlign w:val="center"/>
          </w:tcPr>
          <w:p>
            <w:pPr>
              <w:pStyle w:val="18"/>
              <w:spacing w:before="5" w:line="500" w:lineRule="atLeast"/>
              <w:jc w:val="center"/>
              <w:rPr>
                <w:rFonts w:ascii="宋体" w:hAnsi="宋体" w:eastAsia="宋体"/>
              </w:rPr>
            </w:pPr>
          </w:p>
          <w:p>
            <w:pPr>
              <w:pStyle w:val="18"/>
              <w:spacing w:before="1" w:line="500" w:lineRule="atLeast"/>
              <w:ind w:left="47" w:right="18"/>
              <w:jc w:val="center"/>
              <w:rPr>
                <w:rFonts w:ascii="宋体" w:hAnsi="宋体" w:eastAsia="宋体"/>
              </w:rPr>
            </w:pPr>
            <w:r>
              <w:rPr>
                <w:rFonts w:ascii="宋体" w:hAnsi="宋体" w:eastAsia="宋体"/>
              </w:rPr>
              <w:t>1(1)</w:t>
            </w:r>
          </w:p>
        </w:tc>
        <w:tc>
          <w:tcPr>
            <w:tcW w:w="474" w:type="pct"/>
            <w:vAlign w:val="center"/>
          </w:tcPr>
          <w:p>
            <w:pPr>
              <w:pStyle w:val="18"/>
              <w:spacing w:before="5" w:line="500" w:lineRule="atLeast"/>
              <w:jc w:val="center"/>
              <w:rPr>
                <w:rFonts w:ascii="宋体" w:hAnsi="宋体" w:eastAsia="宋体"/>
              </w:rPr>
            </w:pPr>
          </w:p>
          <w:p>
            <w:pPr>
              <w:pStyle w:val="18"/>
              <w:spacing w:before="1" w:line="500" w:lineRule="atLeast"/>
              <w:ind w:left="29"/>
              <w:jc w:val="center"/>
              <w:rPr>
                <w:rFonts w:ascii="宋体" w:hAnsi="宋体" w:eastAsia="宋体"/>
              </w:rPr>
            </w:pPr>
            <w:r>
              <w:rPr>
                <w:rFonts w:ascii="宋体" w:hAnsi="宋体" w:eastAsia="宋体"/>
              </w:rPr>
              <w:t>1(100%)</w:t>
            </w:r>
          </w:p>
        </w:tc>
        <w:tc>
          <w:tcPr>
            <w:tcW w:w="496" w:type="pct"/>
            <w:vAlign w:val="center"/>
          </w:tcPr>
          <w:p>
            <w:pPr>
              <w:pStyle w:val="18"/>
              <w:spacing w:before="6" w:line="500" w:lineRule="atLeast"/>
              <w:jc w:val="center"/>
              <w:rPr>
                <w:rFonts w:ascii="宋体" w:hAnsi="宋体" w:eastAsia="宋体"/>
              </w:rPr>
            </w:pPr>
          </w:p>
          <w:p>
            <w:pPr>
              <w:pStyle w:val="18"/>
              <w:spacing w:line="500" w:lineRule="atLeast"/>
              <w:ind w:right="85"/>
              <w:jc w:val="center"/>
              <w:rPr>
                <w:rFonts w:ascii="宋体" w:hAnsi="宋体" w:eastAsia="宋体"/>
              </w:rPr>
            </w:pPr>
            <w:r>
              <w:rPr>
                <w:rFonts w:ascii="宋体" w:hAnsi="宋体" w:eastAsia="宋体"/>
              </w:rPr>
              <w:t>已验收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7" w:hRule="atLeast"/>
          <w:jc w:val="center"/>
        </w:trPr>
        <w:tc>
          <w:tcPr>
            <w:tcW w:w="231" w:type="pct"/>
            <w:vAlign w:val="center"/>
          </w:tcPr>
          <w:p>
            <w:pPr>
              <w:pStyle w:val="18"/>
              <w:spacing w:before="5" w:line="500" w:lineRule="atLeast"/>
              <w:jc w:val="center"/>
              <w:rPr>
                <w:rFonts w:ascii="宋体" w:hAnsi="宋体" w:eastAsia="宋体"/>
              </w:rPr>
            </w:pPr>
          </w:p>
          <w:p>
            <w:pPr>
              <w:pStyle w:val="18"/>
              <w:spacing w:before="1" w:line="500" w:lineRule="atLeast"/>
              <w:ind w:left="20"/>
              <w:jc w:val="center"/>
              <w:rPr>
                <w:rFonts w:ascii="宋体" w:hAnsi="宋体" w:eastAsia="宋体"/>
              </w:rPr>
            </w:pPr>
            <w:r>
              <w:rPr>
                <w:rFonts w:ascii="宋体" w:hAnsi="宋体" w:eastAsia="宋体"/>
              </w:rPr>
              <w:t>3</w:t>
            </w:r>
          </w:p>
        </w:tc>
        <w:tc>
          <w:tcPr>
            <w:tcW w:w="984" w:type="pct"/>
            <w:vAlign w:val="center"/>
          </w:tcPr>
          <w:p>
            <w:pPr>
              <w:pStyle w:val="18"/>
              <w:spacing w:before="2" w:line="500" w:lineRule="atLeast"/>
              <w:ind w:right="153"/>
              <w:jc w:val="center"/>
              <w:rPr>
                <w:rFonts w:ascii="宋体" w:hAnsi="宋体" w:eastAsia="宋体"/>
              </w:rPr>
            </w:pPr>
            <w:r>
              <w:rPr>
                <w:rFonts w:ascii="宋体" w:hAnsi="宋体" w:eastAsia="宋体"/>
              </w:rPr>
              <w:t>福建省高校人文社会科学研究基地</w:t>
            </w:r>
          </w:p>
        </w:tc>
        <w:tc>
          <w:tcPr>
            <w:tcW w:w="1364" w:type="pct"/>
            <w:vAlign w:val="center"/>
          </w:tcPr>
          <w:p>
            <w:pPr>
              <w:pStyle w:val="18"/>
              <w:spacing w:before="139" w:line="500" w:lineRule="atLeast"/>
              <w:ind w:right="164"/>
              <w:jc w:val="center"/>
              <w:rPr>
                <w:rFonts w:ascii="宋体" w:hAnsi="宋体" w:eastAsia="宋体"/>
              </w:rPr>
            </w:pPr>
            <w:r>
              <w:rPr>
                <w:rFonts w:ascii="宋体" w:hAnsi="宋体" w:eastAsia="宋体"/>
              </w:rPr>
              <w:t>茶产业发展研究中心</w:t>
            </w:r>
          </w:p>
        </w:tc>
        <w:tc>
          <w:tcPr>
            <w:tcW w:w="706" w:type="pct"/>
            <w:vAlign w:val="center"/>
          </w:tcPr>
          <w:p>
            <w:pPr>
              <w:pStyle w:val="18"/>
              <w:spacing w:before="139" w:line="500" w:lineRule="atLeast"/>
              <w:ind w:right="161"/>
              <w:jc w:val="center"/>
              <w:rPr>
                <w:rFonts w:ascii="宋体" w:hAnsi="宋体" w:eastAsia="宋体"/>
              </w:rPr>
            </w:pPr>
            <w:r>
              <w:rPr>
                <w:rFonts w:ascii="宋体" w:hAnsi="宋体" w:eastAsia="宋体"/>
              </w:rPr>
              <w:t>福建省教育厅</w:t>
            </w:r>
          </w:p>
        </w:tc>
        <w:tc>
          <w:tcPr>
            <w:tcW w:w="400" w:type="pct"/>
            <w:vAlign w:val="center"/>
          </w:tcPr>
          <w:p>
            <w:pPr>
              <w:pStyle w:val="18"/>
              <w:spacing w:before="5" w:line="500" w:lineRule="atLeast"/>
              <w:jc w:val="center"/>
              <w:rPr>
                <w:rFonts w:ascii="宋体" w:hAnsi="宋体" w:eastAsia="宋体"/>
              </w:rPr>
            </w:pPr>
          </w:p>
          <w:p>
            <w:pPr>
              <w:pStyle w:val="18"/>
              <w:spacing w:before="1" w:line="500" w:lineRule="atLeast"/>
              <w:ind w:right="104"/>
              <w:jc w:val="center"/>
              <w:rPr>
                <w:rFonts w:ascii="宋体" w:hAnsi="宋体" w:eastAsia="宋体"/>
              </w:rPr>
            </w:pPr>
            <w:r>
              <w:rPr>
                <w:rFonts w:ascii="宋体" w:hAnsi="宋体" w:eastAsia="宋体"/>
              </w:rPr>
              <w:t>2015</w:t>
            </w:r>
          </w:p>
        </w:tc>
        <w:tc>
          <w:tcPr>
            <w:tcW w:w="342" w:type="pct"/>
            <w:vAlign w:val="center"/>
          </w:tcPr>
          <w:p>
            <w:pPr>
              <w:pStyle w:val="18"/>
              <w:spacing w:before="5" w:line="500" w:lineRule="atLeast"/>
              <w:jc w:val="center"/>
              <w:rPr>
                <w:rFonts w:ascii="宋体" w:hAnsi="宋体" w:eastAsia="宋体"/>
              </w:rPr>
            </w:pPr>
          </w:p>
          <w:p>
            <w:pPr>
              <w:pStyle w:val="18"/>
              <w:spacing w:before="1" w:line="500" w:lineRule="atLeast"/>
              <w:ind w:left="47" w:right="18"/>
              <w:jc w:val="center"/>
              <w:rPr>
                <w:rFonts w:ascii="宋体" w:hAnsi="宋体" w:eastAsia="宋体"/>
              </w:rPr>
            </w:pPr>
            <w:r>
              <w:rPr>
                <w:rFonts w:ascii="宋体" w:hAnsi="宋体" w:eastAsia="宋体"/>
              </w:rPr>
              <w:t>1(1)</w:t>
            </w:r>
          </w:p>
        </w:tc>
        <w:tc>
          <w:tcPr>
            <w:tcW w:w="474" w:type="pct"/>
            <w:vAlign w:val="center"/>
          </w:tcPr>
          <w:p>
            <w:pPr>
              <w:pStyle w:val="18"/>
              <w:spacing w:before="5" w:line="500" w:lineRule="atLeast"/>
              <w:jc w:val="center"/>
              <w:rPr>
                <w:rFonts w:ascii="宋体" w:hAnsi="宋体" w:eastAsia="宋体"/>
              </w:rPr>
            </w:pPr>
          </w:p>
          <w:p>
            <w:pPr>
              <w:pStyle w:val="18"/>
              <w:spacing w:before="1" w:line="500" w:lineRule="atLeast"/>
              <w:ind w:left="29"/>
              <w:jc w:val="center"/>
              <w:rPr>
                <w:rFonts w:ascii="宋体" w:hAnsi="宋体" w:eastAsia="宋体"/>
              </w:rPr>
            </w:pPr>
            <w:r>
              <w:rPr>
                <w:rFonts w:ascii="宋体" w:hAnsi="宋体" w:eastAsia="宋体"/>
              </w:rPr>
              <w:t>1(100%)</w:t>
            </w:r>
          </w:p>
        </w:tc>
        <w:tc>
          <w:tcPr>
            <w:tcW w:w="496" w:type="pct"/>
            <w:vAlign w:val="center"/>
          </w:tcPr>
          <w:p>
            <w:pPr>
              <w:pStyle w:val="18"/>
              <w:spacing w:before="6" w:line="500" w:lineRule="atLeast"/>
              <w:jc w:val="center"/>
              <w:rPr>
                <w:rFonts w:ascii="宋体" w:hAnsi="宋体" w:eastAsia="宋体"/>
              </w:rPr>
            </w:pPr>
          </w:p>
          <w:p>
            <w:pPr>
              <w:pStyle w:val="18"/>
              <w:spacing w:line="500" w:lineRule="atLeast"/>
              <w:ind w:right="85"/>
              <w:jc w:val="center"/>
              <w:rPr>
                <w:rFonts w:ascii="宋体" w:hAnsi="宋体" w:eastAsia="宋体"/>
              </w:rPr>
            </w:pPr>
            <w:r>
              <w:rPr>
                <w:rFonts w:ascii="宋体" w:hAnsi="宋体" w:eastAsia="宋体"/>
              </w:rPr>
              <w:t>未评估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4" w:hRule="atLeast"/>
          <w:jc w:val="center"/>
        </w:trPr>
        <w:tc>
          <w:tcPr>
            <w:tcW w:w="231" w:type="pct"/>
            <w:vAlign w:val="center"/>
          </w:tcPr>
          <w:p>
            <w:pPr>
              <w:pStyle w:val="18"/>
              <w:spacing w:before="151" w:line="500" w:lineRule="atLeast"/>
              <w:ind w:left="20"/>
              <w:jc w:val="center"/>
              <w:rPr>
                <w:rFonts w:ascii="宋体" w:hAnsi="宋体" w:eastAsia="宋体"/>
              </w:rPr>
            </w:pPr>
            <w:r>
              <w:rPr>
                <w:rFonts w:ascii="宋体" w:hAnsi="宋体" w:eastAsia="宋体"/>
              </w:rPr>
              <w:t>4</w:t>
            </w:r>
          </w:p>
        </w:tc>
        <w:tc>
          <w:tcPr>
            <w:tcW w:w="984" w:type="pct"/>
            <w:vAlign w:val="center"/>
          </w:tcPr>
          <w:p>
            <w:pPr>
              <w:pStyle w:val="18"/>
              <w:spacing w:before="2" w:line="500" w:lineRule="atLeast"/>
              <w:ind w:right="153"/>
              <w:jc w:val="center"/>
              <w:rPr>
                <w:rFonts w:ascii="宋体" w:hAnsi="宋体" w:eastAsia="宋体"/>
              </w:rPr>
            </w:pPr>
            <w:r>
              <w:rPr>
                <w:rFonts w:ascii="宋体" w:hAnsi="宋体" w:eastAsia="宋体"/>
              </w:rPr>
              <w:t>福建省高校特色新型智库</w:t>
            </w:r>
          </w:p>
        </w:tc>
        <w:tc>
          <w:tcPr>
            <w:tcW w:w="1364" w:type="pct"/>
            <w:vAlign w:val="center"/>
          </w:tcPr>
          <w:p>
            <w:pPr>
              <w:pStyle w:val="18"/>
              <w:spacing w:before="155" w:line="500" w:lineRule="atLeast"/>
              <w:jc w:val="center"/>
              <w:rPr>
                <w:rFonts w:ascii="宋体" w:hAnsi="宋体" w:eastAsia="宋体"/>
              </w:rPr>
            </w:pPr>
            <w:r>
              <w:rPr>
                <w:rFonts w:ascii="宋体" w:hAnsi="宋体" w:eastAsia="宋体"/>
              </w:rPr>
              <w:t>福建普惠金融研究院</w:t>
            </w:r>
          </w:p>
        </w:tc>
        <w:tc>
          <w:tcPr>
            <w:tcW w:w="706" w:type="pct"/>
            <w:vAlign w:val="center"/>
          </w:tcPr>
          <w:p>
            <w:pPr>
              <w:pStyle w:val="18"/>
              <w:spacing w:before="155" w:line="500" w:lineRule="atLeast"/>
              <w:ind w:left="29"/>
              <w:jc w:val="center"/>
              <w:rPr>
                <w:rFonts w:ascii="宋体" w:hAnsi="宋体" w:eastAsia="宋体"/>
              </w:rPr>
            </w:pPr>
            <w:r>
              <w:rPr>
                <w:rFonts w:ascii="宋体" w:hAnsi="宋体" w:eastAsia="宋体"/>
              </w:rPr>
              <w:t>福建省教育厅</w:t>
            </w:r>
          </w:p>
        </w:tc>
        <w:tc>
          <w:tcPr>
            <w:tcW w:w="400" w:type="pct"/>
            <w:vAlign w:val="center"/>
          </w:tcPr>
          <w:p>
            <w:pPr>
              <w:pStyle w:val="18"/>
              <w:spacing w:before="151" w:line="500" w:lineRule="atLeast"/>
              <w:ind w:right="104"/>
              <w:jc w:val="center"/>
              <w:rPr>
                <w:rFonts w:ascii="宋体" w:hAnsi="宋体" w:eastAsia="宋体"/>
              </w:rPr>
            </w:pPr>
            <w:r>
              <w:rPr>
                <w:rFonts w:ascii="宋体" w:hAnsi="宋体" w:eastAsia="宋体"/>
              </w:rPr>
              <w:t>2017</w:t>
            </w:r>
          </w:p>
        </w:tc>
        <w:tc>
          <w:tcPr>
            <w:tcW w:w="342" w:type="pct"/>
            <w:vAlign w:val="center"/>
          </w:tcPr>
          <w:p>
            <w:pPr>
              <w:pStyle w:val="18"/>
              <w:spacing w:before="151" w:line="500" w:lineRule="atLeast"/>
              <w:ind w:left="47" w:right="18"/>
              <w:jc w:val="center"/>
              <w:rPr>
                <w:rFonts w:ascii="宋体" w:hAnsi="宋体" w:eastAsia="宋体"/>
              </w:rPr>
            </w:pPr>
            <w:r>
              <w:rPr>
                <w:rFonts w:ascii="宋体" w:hAnsi="宋体" w:eastAsia="宋体"/>
              </w:rPr>
              <w:t>1(1)</w:t>
            </w:r>
          </w:p>
        </w:tc>
        <w:tc>
          <w:tcPr>
            <w:tcW w:w="474" w:type="pct"/>
            <w:vAlign w:val="center"/>
          </w:tcPr>
          <w:p>
            <w:pPr>
              <w:pStyle w:val="18"/>
              <w:spacing w:before="151" w:line="500" w:lineRule="atLeast"/>
              <w:ind w:left="29"/>
              <w:jc w:val="center"/>
              <w:rPr>
                <w:rFonts w:ascii="宋体" w:hAnsi="宋体" w:eastAsia="宋体"/>
              </w:rPr>
            </w:pPr>
            <w:r>
              <w:rPr>
                <w:rFonts w:ascii="宋体" w:hAnsi="宋体" w:eastAsia="宋体"/>
              </w:rPr>
              <w:t>1(100%)</w:t>
            </w:r>
          </w:p>
        </w:tc>
        <w:tc>
          <w:tcPr>
            <w:tcW w:w="496" w:type="pct"/>
            <w:vAlign w:val="center"/>
          </w:tcPr>
          <w:p>
            <w:pPr>
              <w:pStyle w:val="18"/>
              <w:spacing w:before="139" w:line="500" w:lineRule="atLeast"/>
              <w:ind w:right="85"/>
              <w:jc w:val="center"/>
              <w:rPr>
                <w:rFonts w:ascii="宋体" w:hAnsi="宋体" w:eastAsia="宋体"/>
              </w:rPr>
            </w:pPr>
            <w:r>
              <w:rPr>
                <w:rFonts w:ascii="宋体" w:hAnsi="宋体" w:eastAsia="宋体"/>
              </w:rPr>
              <w:t>未评估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4" w:hRule="atLeast"/>
          <w:jc w:val="center"/>
        </w:trPr>
        <w:tc>
          <w:tcPr>
            <w:tcW w:w="231" w:type="pct"/>
            <w:vAlign w:val="center"/>
          </w:tcPr>
          <w:p>
            <w:pPr>
              <w:pStyle w:val="18"/>
              <w:spacing w:before="151" w:line="500" w:lineRule="atLeast"/>
              <w:ind w:left="20"/>
              <w:jc w:val="center"/>
              <w:rPr>
                <w:rFonts w:ascii="宋体" w:hAnsi="宋体" w:eastAsia="宋体"/>
              </w:rPr>
            </w:pPr>
            <w:r>
              <w:rPr>
                <w:rFonts w:ascii="宋体" w:hAnsi="宋体" w:eastAsia="宋体"/>
              </w:rPr>
              <w:t>5</w:t>
            </w:r>
          </w:p>
        </w:tc>
        <w:tc>
          <w:tcPr>
            <w:tcW w:w="984" w:type="pct"/>
            <w:vAlign w:val="center"/>
          </w:tcPr>
          <w:p>
            <w:pPr>
              <w:pStyle w:val="18"/>
              <w:spacing w:before="2" w:line="500" w:lineRule="atLeast"/>
              <w:ind w:right="153"/>
              <w:jc w:val="center"/>
              <w:rPr>
                <w:rFonts w:ascii="宋体" w:hAnsi="宋体" w:eastAsia="宋体"/>
              </w:rPr>
            </w:pPr>
            <w:r>
              <w:rPr>
                <w:rFonts w:ascii="宋体" w:hAnsi="宋体" w:eastAsia="宋体"/>
              </w:rPr>
              <w:t>福建省高校特色新型智库</w:t>
            </w:r>
          </w:p>
        </w:tc>
        <w:tc>
          <w:tcPr>
            <w:tcW w:w="1364" w:type="pct"/>
            <w:vAlign w:val="center"/>
          </w:tcPr>
          <w:p>
            <w:pPr>
              <w:pStyle w:val="18"/>
              <w:spacing w:before="2" w:line="500" w:lineRule="atLeast"/>
              <w:ind w:right="164"/>
              <w:jc w:val="center"/>
              <w:rPr>
                <w:rFonts w:ascii="宋体" w:hAnsi="宋体" w:eastAsia="宋体"/>
              </w:rPr>
            </w:pPr>
            <w:r>
              <w:rPr>
                <w:rFonts w:ascii="宋体" w:hAnsi="宋体" w:eastAsia="宋体"/>
              </w:rPr>
              <w:t>海峡两岸乡村振兴研究院</w:t>
            </w:r>
          </w:p>
        </w:tc>
        <w:tc>
          <w:tcPr>
            <w:tcW w:w="706" w:type="pct"/>
            <w:vAlign w:val="center"/>
          </w:tcPr>
          <w:p>
            <w:pPr>
              <w:pStyle w:val="18"/>
              <w:spacing w:before="2" w:line="500" w:lineRule="atLeast"/>
              <w:ind w:right="161"/>
              <w:jc w:val="center"/>
              <w:rPr>
                <w:rFonts w:ascii="宋体" w:hAnsi="宋体" w:eastAsia="宋体"/>
              </w:rPr>
            </w:pPr>
            <w:r>
              <w:rPr>
                <w:rFonts w:ascii="宋体" w:hAnsi="宋体" w:eastAsia="宋体"/>
              </w:rPr>
              <w:t>福建省教育厅</w:t>
            </w:r>
          </w:p>
        </w:tc>
        <w:tc>
          <w:tcPr>
            <w:tcW w:w="400" w:type="pct"/>
            <w:vAlign w:val="center"/>
          </w:tcPr>
          <w:p>
            <w:pPr>
              <w:pStyle w:val="18"/>
              <w:spacing w:before="151" w:line="500" w:lineRule="atLeast"/>
              <w:ind w:left="134" w:right="104"/>
              <w:jc w:val="center"/>
              <w:rPr>
                <w:rFonts w:ascii="宋体" w:hAnsi="宋体" w:eastAsia="宋体"/>
              </w:rPr>
            </w:pPr>
            <w:r>
              <w:rPr>
                <w:rFonts w:ascii="宋体" w:hAnsi="宋体" w:eastAsia="宋体"/>
              </w:rPr>
              <w:t>2018</w:t>
            </w:r>
          </w:p>
        </w:tc>
        <w:tc>
          <w:tcPr>
            <w:tcW w:w="342" w:type="pct"/>
            <w:vAlign w:val="center"/>
          </w:tcPr>
          <w:p>
            <w:pPr>
              <w:pStyle w:val="18"/>
              <w:spacing w:before="151" w:line="500" w:lineRule="atLeast"/>
              <w:ind w:left="47" w:right="18"/>
              <w:jc w:val="center"/>
              <w:rPr>
                <w:rFonts w:ascii="宋体" w:hAnsi="宋体" w:eastAsia="宋体"/>
              </w:rPr>
            </w:pPr>
            <w:r>
              <w:rPr>
                <w:rFonts w:ascii="宋体" w:hAnsi="宋体" w:eastAsia="宋体"/>
              </w:rPr>
              <w:t>1(1)</w:t>
            </w:r>
          </w:p>
        </w:tc>
        <w:tc>
          <w:tcPr>
            <w:tcW w:w="474" w:type="pct"/>
            <w:vAlign w:val="center"/>
          </w:tcPr>
          <w:p>
            <w:pPr>
              <w:pStyle w:val="18"/>
              <w:spacing w:before="151" w:line="500" w:lineRule="atLeast"/>
              <w:ind w:left="29"/>
              <w:jc w:val="center"/>
              <w:rPr>
                <w:rFonts w:ascii="宋体" w:hAnsi="宋体" w:eastAsia="宋体"/>
              </w:rPr>
            </w:pPr>
            <w:r>
              <w:rPr>
                <w:rFonts w:ascii="宋体" w:hAnsi="宋体" w:eastAsia="宋体"/>
              </w:rPr>
              <w:t>1(100%)</w:t>
            </w:r>
          </w:p>
        </w:tc>
        <w:tc>
          <w:tcPr>
            <w:tcW w:w="496" w:type="pct"/>
            <w:vAlign w:val="center"/>
          </w:tcPr>
          <w:p>
            <w:pPr>
              <w:pStyle w:val="18"/>
              <w:spacing w:before="139" w:line="500" w:lineRule="atLeast"/>
              <w:ind w:right="85"/>
              <w:jc w:val="center"/>
              <w:rPr>
                <w:rFonts w:ascii="宋体" w:hAnsi="宋体" w:eastAsia="宋体"/>
              </w:rPr>
            </w:pPr>
            <w:r>
              <w:rPr>
                <w:rFonts w:ascii="宋体" w:hAnsi="宋体" w:eastAsia="宋体"/>
              </w:rPr>
              <w:t>未评估</w:t>
            </w:r>
          </w:p>
        </w:tc>
      </w:tr>
    </w:tbl>
    <w:p>
      <w:pPr>
        <w:spacing w:line="500" w:lineRule="atLeast"/>
        <w:rPr>
          <w:rFonts w:ascii="宋体" w:hAnsi="宋体" w:eastAsia="宋体"/>
          <w:b/>
          <w:bCs/>
          <w:sz w:val="24"/>
        </w:rPr>
      </w:pPr>
    </w:p>
    <w:p>
      <w:pPr>
        <w:spacing w:line="500" w:lineRule="atLeast"/>
        <w:rPr>
          <w:rFonts w:ascii="楷体" w:hAnsi="楷体" w:eastAsia="楷体" w:cs="楷体"/>
          <w:sz w:val="32"/>
          <w:szCs w:val="32"/>
        </w:rPr>
      </w:pPr>
      <w:r>
        <w:rPr>
          <w:rFonts w:hint="eastAsia" w:ascii="楷体" w:hAnsi="楷体" w:eastAsia="楷体" w:cs="楷体"/>
          <w:sz w:val="32"/>
          <w:szCs w:val="32"/>
        </w:rPr>
        <w:t>（四）、质量监控</w:t>
      </w:r>
    </w:p>
    <w:p>
      <w:pPr>
        <w:pStyle w:val="16"/>
        <w:spacing w:line="500" w:lineRule="atLeast"/>
        <w:ind w:firstLine="640"/>
        <w:rPr>
          <w:rFonts w:ascii="仿宋" w:hAnsi="仿宋" w:eastAsia="仿宋" w:cs="仿宋"/>
          <w:sz w:val="32"/>
          <w:szCs w:val="32"/>
        </w:rPr>
      </w:pPr>
      <w:r>
        <w:rPr>
          <w:rFonts w:hint="eastAsia" w:ascii="仿宋" w:hAnsi="仿宋" w:eastAsia="仿宋" w:cs="仿宋"/>
          <w:sz w:val="32"/>
          <w:szCs w:val="32"/>
        </w:rPr>
        <w:t>1.分流淘汰</w:t>
      </w:r>
    </w:p>
    <w:p>
      <w:pPr>
        <w:spacing w:line="500" w:lineRule="atLeast"/>
        <w:ind w:firstLine="425"/>
        <w:rPr>
          <w:rFonts w:ascii="宋体" w:hAnsi="宋体" w:eastAsia="宋体"/>
          <w:b/>
          <w:bCs/>
          <w:sz w:val="24"/>
        </w:rPr>
      </w:pPr>
      <w:r>
        <w:rPr>
          <w:rFonts w:hint="eastAsia" w:ascii="宋体" w:hAnsi="宋体" w:eastAsia="宋体"/>
          <w:sz w:val="24"/>
        </w:rPr>
        <w:t>在课程学习结束后，硕士研究生要举行中期考核，检查其是否掌握本学科坚实宽广的基础理论和系统深入的专门知识，是确定能否进入论文阶段的重要根据。中期考核一般安排在第三学期，在研究生院领导下由学院统一安排，学院成立以主管研究生工作的院领导任组长，党政领导和学院学位分委会成员组成考核领导小组，负责组织本学院研究生的中期考核工作，对学生的思想政治表现、课程学习成绩、科研与实践创新能力以及素质拓展四个方面进行考核。具体要求详见《福建农林大学学术型研究生中期考核办法（修订）》。未达到《福建农林大学学位授予实施细则》中规定的硕士学位申请条件者，不授予硕士学位证。</w:t>
      </w:r>
    </w:p>
    <w:p>
      <w:pPr>
        <w:pStyle w:val="16"/>
        <w:spacing w:line="500" w:lineRule="atLeast"/>
        <w:ind w:firstLine="640"/>
        <w:rPr>
          <w:rFonts w:ascii="仿宋" w:hAnsi="仿宋" w:eastAsia="仿宋" w:cs="仿宋"/>
          <w:sz w:val="32"/>
          <w:szCs w:val="32"/>
        </w:rPr>
      </w:pPr>
      <w:r>
        <w:rPr>
          <w:rFonts w:hint="eastAsia" w:ascii="仿宋" w:hAnsi="仿宋" w:eastAsia="仿宋" w:cs="仿宋"/>
          <w:sz w:val="32"/>
          <w:szCs w:val="32"/>
        </w:rPr>
        <w:t>2.学位论文</w:t>
      </w:r>
    </w:p>
    <w:p>
      <w:pPr>
        <w:spacing w:line="500" w:lineRule="atLeast"/>
        <w:ind w:firstLine="425"/>
        <w:rPr>
          <w:rFonts w:ascii="宋体" w:hAnsi="宋体" w:eastAsia="宋体"/>
          <w:b/>
          <w:bCs/>
          <w:sz w:val="24"/>
        </w:rPr>
      </w:pPr>
      <w:r>
        <w:rPr>
          <w:rFonts w:hint="eastAsia" w:ascii="宋体" w:hAnsi="宋体" w:eastAsia="宋体"/>
          <w:b/>
          <w:bCs/>
          <w:sz w:val="24"/>
        </w:rPr>
        <w:t>（1）论文选题、设计及规范</w:t>
      </w:r>
    </w:p>
    <w:p>
      <w:pPr>
        <w:spacing w:line="500" w:lineRule="atLeast"/>
        <w:ind w:firstLine="425"/>
        <w:rPr>
          <w:rFonts w:ascii="宋体" w:hAnsi="宋体" w:eastAsia="宋体"/>
          <w:sz w:val="24"/>
        </w:rPr>
      </w:pPr>
      <w:r>
        <w:rPr>
          <w:rFonts w:hint="eastAsia" w:ascii="宋体" w:hAnsi="宋体" w:eastAsia="宋体"/>
          <w:sz w:val="24"/>
        </w:rPr>
        <w:t>本学科学位论文选题总体上能够与所学专业和研究方向相对应，紧密结合国民经济和社会发展需要，反映国际经济与贸易、金融及区域及发展领域一些亟待解决的理论与现实问题，并体现农林类院校关注“三农”领域的特色。论文设计总体上有科学性，基本能够恰当的使用应用经济学学科相关的理论分析方法与工具。论文规范性上，论文写作总体符合学术论文写作规范。</w:t>
      </w:r>
    </w:p>
    <w:p>
      <w:pPr>
        <w:spacing w:line="500" w:lineRule="atLeast"/>
        <w:ind w:firstLine="425"/>
        <w:rPr>
          <w:rFonts w:ascii="宋体" w:hAnsi="宋体" w:eastAsia="宋体"/>
          <w:b/>
          <w:bCs/>
          <w:sz w:val="24"/>
        </w:rPr>
      </w:pPr>
      <w:r>
        <w:rPr>
          <w:rFonts w:hint="eastAsia" w:ascii="宋体" w:hAnsi="宋体" w:eastAsia="宋体"/>
          <w:b/>
          <w:bCs/>
          <w:sz w:val="24"/>
        </w:rPr>
        <w:t>（2）论文写作时间充分</w:t>
      </w:r>
    </w:p>
    <w:p>
      <w:pPr>
        <w:spacing w:line="500" w:lineRule="atLeast"/>
        <w:ind w:firstLine="425"/>
        <w:rPr>
          <w:rFonts w:ascii="宋体" w:hAnsi="宋体" w:eastAsia="宋体"/>
          <w:sz w:val="24"/>
        </w:rPr>
      </w:pPr>
      <w:r>
        <w:rPr>
          <w:rFonts w:hint="eastAsia" w:ascii="宋体" w:hAnsi="宋体" w:eastAsia="宋体"/>
          <w:sz w:val="24"/>
        </w:rPr>
        <w:t>本专业的硕士生要用不少于一年的时间从事科学研究和学位论文工作，学位论文在导师（组）的指导下，由研究生本人独立完成。</w:t>
      </w:r>
    </w:p>
    <w:p>
      <w:pPr>
        <w:spacing w:line="500" w:lineRule="atLeast"/>
        <w:ind w:firstLine="425"/>
        <w:rPr>
          <w:rFonts w:ascii="宋体" w:hAnsi="宋体" w:eastAsia="宋体"/>
          <w:b/>
          <w:bCs/>
          <w:sz w:val="24"/>
        </w:rPr>
      </w:pPr>
      <w:r>
        <w:rPr>
          <w:rFonts w:hint="eastAsia" w:ascii="宋体" w:hAnsi="宋体" w:eastAsia="宋体"/>
          <w:b/>
          <w:bCs/>
          <w:sz w:val="24"/>
        </w:rPr>
        <w:t>（</w:t>
      </w:r>
      <w:r>
        <w:rPr>
          <w:rFonts w:ascii="宋体" w:hAnsi="宋体" w:eastAsia="宋体"/>
          <w:b/>
          <w:bCs/>
          <w:sz w:val="24"/>
        </w:rPr>
        <w:t>3</w:t>
      </w:r>
      <w:r>
        <w:rPr>
          <w:rFonts w:hint="eastAsia" w:ascii="宋体" w:hAnsi="宋体" w:eastAsia="宋体"/>
          <w:b/>
          <w:bCs/>
          <w:sz w:val="24"/>
        </w:rPr>
        <w:t>）论文评审制度及抽检</w:t>
      </w:r>
    </w:p>
    <w:p>
      <w:pPr>
        <w:spacing w:line="500" w:lineRule="atLeast"/>
        <w:ind w:firstLine="425"/>
        <w:rPr>
          <w:rFonts w:ascii="宋体" w:hAnsi="宋体" w:eastAsia="宋体"/>
          <w:sz w:val="24"/>
        </w:rPr>
      </w:pPr>
      <w:r>
        <w:rPr>
          <w:rFonts w:hint="eastAsia" w:ascii="宋体" w:hAnsi="宋体" w:eastAsia="宋体"/>
          <w:sz w:val="24"/>
        </w:rPr>
        <w:t>本学科学位论文实行百分百盲审，且2016年开始，实行百分百省外专家盲审。总体上本学位点的学位论文基本符合应用经济学硕士学位论文的质量要求，近三年省学位办对学位点的论文抽查结果均合格。</w:t>
      </w:r>
    </w:p>
    <w:p>
      <w:pPr>
        <w:pStyle w:val="16"/>
        <w:spacing w:line="500" w:lineRule="atLeast"/>
        <w:ind w:firstLine="640"/>
        <w:rPr>
          <w:rFonts w:ascii="仿宋" w:hAnsi="仿宋" w:eastAsia="仿宋" w:cs="仿宋"/>
          <w:sz w:val="32"/>
          <w:szCs w:val="32"/>
        </w:rPr>
      </w:pPr>
      <w:r>
        <w:rPr>
          <w:rFonts w:hint="eastAsia" w:ascii="仿宋" w:hAnsi="仿宋" w:eastAsia="仿宋" w:cs="仿宋"/>
          <w:sz w:val="32"/>
          <w:szCs w:val="32"/>
        </w:rPr>
        <w:t>3.学风建设</w:t>
      </w:r>
    </w:p>
    <w:p>
      <w:pPr>
        <w:pStyle w:val="16"/>
        <w:spacing w:line="500" w:lineRule="atLeast"/>
        <w:ind w:firstLine="480"/>
        <w:rPr>
          <w:rFonts w:ascii="宋体" w:hAnsi="宋体" w:eastAsia="宋体"/>
          <w:sz w:val="24"/>
        </w:rPr>
      </w:pPr>
      <w:r>
        <w:rPr>
          <w:rFonts w:hint="eastAsia" w:ascii="宋体" w:hAnsi="宋体" w:eastAsia="宋体" w:cs="宋体"/>
          <w:sz w:val="24"/>
          <w:szCs w:val="24"/>
        </w:rPr>
        <w:t>高度重视学风教育</w:t>
      </w:r>
      <w:r>
        <w:rPr>
          <w:rFonts w:hint="eastAsia" w:ascii="宋体" w:hAnsi="宋体" w:eastAsia="宋体"/>
          <w:sz w:val="24"/>
        </w:rPr>
        <w:t>和学风制度建设，有比较完善的学风管理制度。成立了学风制度建设工作领导小组，制定了关于进一步加强和改进学风建设、考风建设的实施意见等一系列规章制度和多项激励政策。</w:t>
      </w:r>
    </w:p>
    <w:p>
      <w:pPr>
        <w:spacing w:line="500" w:lineRule="atLeast"/>
        <w:ind w:firstLine="425"/>
        <w:rPr>
          <w:rFonts w:ascii="宋体" w:hAnsi="宋体" w:eastAsia="宋体"/>
          <w:sz w:val="24"/>
        </w:rPr>
      </w:pPr>
      <w:r>
        <w:rPr>
          <w:rFonts w:hint="eastAsia" w:ascii="宋体" w:hAnsi="宋体" w:eastAsia="宋体"/>
          <w:sz w:val="24"/>
        </w:rPr>
        <w:t>（1）每年在新生报到教育周时间，安排有学术道德和学术不端行为管理制度讲解。</w:t>
      </w:r>
    </w:p>
    <w:p>
      <w:pPr>
        <w:spacing w:line="500" w:lineRule="atLeast"/>
        <w:ind w:firstLine="425"/>
        <w:rPr>
          <w:rFonts w:ascii="宋体" w:hAnsi="宋体" w:eastAsia="宋体"/>
          <w:sz w:val="24"/>
        </w:rPr>
      </w:pPr>
      <w:r>
        <w:rPr>
          <w:rFonts w:hint="eastAsia" w:ascii="宋体" w:hAnsi="宋体" w:eastAsia="宋体"/>
          <w:sz w:val="24"/>
        </w:rPr>
        <w:t>（2）每年由学院或院研究生会组织德高望重的教授不定期举办学术道德和学术不端行为知识的专题讲座。</w:t>
      </w:r>
    </w:p>
    <w:p>
      <w:pPr>
        <w:spacing w:line="500" w:lineRule="atLeast"/>
        <w:ind w:firstLine="425"/>
        <w:rPr>
          <w:rFonts w:ascii="宋体" w:hAnsi="宋体" w:eastAsia="宋体" w:cs="方正仿宋简体"/>
          <w:color w:val="000000"/>
          <w:sz w:val="24"/>
        </w:rPr>
      </w:pPr>
      <w:r>
        <w:rPr>
          <w:rFonts w:hint="eastAsia" w:ascii="宋体" w:hAnsi="宋体" w:eastAsia="宋体" w:cs="方正仿宋简体"/>
          <w:color w:val="000000"/>
          <w:sz w:val="24"/>
        </w:rPr>
        <w:t>组织研究生导师以专业为单位，开展学术道德规范专题培训，引导学生明确本学科的学术要求和规范，掌握学术研究工作规范，自觉抵制学术不端行为；以年级为单位，辅导员结合年级班会组织研究生召开学术道德规范主题班会，引导同学们自觉把学术诚信作为学术创新的基石，坚守学术诚信底线，维护学术尊严；对研究生会学生干部，研究生党员召开专门的学术道德规范教育座谈会，切实发挥学生干部和学生党员对学术道德规范的宣传和模范带头作用。</w:t>
      </w:r>
    </w:p>
    <w:p>
      <w:pPr>
        <w:pStyle w:val="16"/>
        <w:spacing w:line="500" w:lineRule="atLeast"/>
        <w:ind w:firstLine="640"/>
        <w:rPr>
          <w:rFonts w:ascii="仿宋" w:hAnsi="仿宋" w:eastAsia="仿宋" w:cs="仿宋"/>
          <w:sz w:val="32"/>
          <w:szCs w:val="32"/>
        </w:rPr>
      </w:pPr>
      <w:bookmarkStart w:id="10" w:name="OLE_LINK21"/>
      <w:bookmarkStart w:id="11" w:name="OLE_LINK22"/>
      <w:r>
        <w:rPr>
          <w:rFonts w:hint="eastAsia" w:ascii="仿宋" w:hAnsi="仿宋" w:eastAsia="仿宋" w:cs="仿宋"/>
          <w:sz w:val="32"/>
          <w:szCs w:val="32"/>
        </w:rPr>
        <w:t>4.就业发展</w:t>
      </w:r>
      <w:bookmarkEnd w:id="10"/>
      <w:bookmarkEnd w:id="11"/>
    </w:p>
    <w:p>
      <w:pPr>
        <w:spacing w:line="500" w:lineRule="atLeast"/>
        <w:ind w:firstLine="480" w:firstLineChars="200"/>
        <w:rPr>
          <w:rFonts w:ascii="宋体" w:hAnsi="宋体" w:eastAsia="宋体"/>
          <w:sz w:val="24"/>
        </w:rPr>
      </w:pPr>
      <w:r>
        <w:rPr>
          <w:rFonts w:ascii="宋体" w:hAnsi="宋体" w:eastAsia="宋体"/>
          <w:sz w:val="24"/>
        </w:rPr>
        <w:t>本</w:t>
      </w:r>
      <w:r>
        <w:rPr>
          <w:rFonts w:hint="eastAsia" w:ascii="宋体" w:hAnsi="宋体" w:eastAsia="宋体"/>
          <w:sz w:val="24"/>
        </w:rPr>
        <w:t>学位点</w:t>
      </w:r>
      <w:r>
        <w:rPr>
          <w:rFonts w:ascii="宋体" w:hAnsi="宋体" w:eastAsia="宋体"/>
          <w:sz w:val="24"/>
        </w:rPr>
        <w:t>研究生就业方向主要为国有企业（包括银行）、政府相关部门、高校、研究机构等，主要从事研究和管理工作</w:t>
      </w:r>
      <w:r>
        <w:rPr>
          <w:rFonts w:hint="eastAsia" w:ascii="宋体" w:hAnsi="宋体" w:eastAsia="宋体"/>
          <w:sz w:val="24"/>
        </w:rPr>
        <w:t>，2</w:t>
      </w:r>
      <w:r>
        <w:rPr>
          <w:rFonts w:ascii="宋体" w:hAnsi="宋体" w:eastAsia="宋体"/>
          <w:sz w:val="24"/>
        </w:rPr>
        <w:t>020</w:t>
      </w:r>
      <w:r>
        <w:rPr>
          <w:rFonts w:hint="eastAsia" w:ascii="宋体" w:hAnsi="宋体" w:eastAsia="宋体"/>
          <w:sz w:val="24"/>
        </w:rPr>
        <w:t>年度毕业生就业率为</w:t>
      </w:r>
      <w:r>
        <w:rPr>
          <w:rFonts w:ascii="宋体" w:hAnsi="宋体" w:eastAsia="宋体"/>
          <w:sz w:val="24"/>
        </w:rPr>
        <w:t>100%</w:t>
      </w:r>
      <w:r>
        <w:rPr>
          <w:rFonts w:hint="eastAsia" w:ascii="宋体" w:hAnsi="宋体" w:eastAsia="宋体"/>
          <w:sz w:val="24"/>
        </w:rPr>
        <w:t>。本学位点毕业生工作表现良好，</w:t>
      </w:r>
      <w:r>
        <w:rPr>
          <w:rFonts w:ascii="宋体" w:hAnsi="宋体" w:eastAsia="宋体"/>
          <w:sz w:val="24"/>
        </w:rPr>
        <w:t>用人单位普遍反映本学位点毕业生基本知识比较扎实、开拓务实，用人单位满意率较高。</w:t>
      </w:r>
    </w:p>
    <w:p>
      <w:pPr>
        <w:spacing w:line="500" w:lineRule="atLeast"/>
        <w:ind w:firstLine="482" w:firstLineChars="200"/>
        <w:jc w:val="center"/>
        <w:rPr>
          <w:rFonts w:ascii="宋体" w:hAnsi="宋体" w:eastAsia="宋体"/>
          <w:b/>
          <w:bCs/>
          <w:sz w:val="24"/>
        </w:rPr>
      </w:pPr>
      <w:r>
        <w:rPr>
          <w:rFonts w:hint="eastAsia" w:ascii="宋体" w:hAnsi="宋体" w:eastAsia="宋体"/>
          <w:b/>
          <w:bCs/>
          <w:sz w:val="24"/>
        </w:rPr>
        <w:t>表</w:t>
      </w:r>
      <w:r>
        <w:rPr>
          <w:rFonts w:ascii="宋体" w:hAnsi="宋体" w:eastAsia="宋体"/>
          <w:b/>
          <w:bCs/>
          <w:sz w:val="24"/>
        </w:rPr>
        <w:t>10</w:t>
      </w:r>
      <w:r>
        <w:rPr>
          <w:rFonts w:hint="eastAsia" w:ascii="宋体" w:hAnsi="宋体" w:eastAsia="宋体"/>
          <w:b/>
          <w:bCs/>
          <w:sz w:val="24"/>
        </w:rPr>
        <w:t xml:space="preserve"> 本学位点2</w:t>
      </w:r>
      <w:r>
        <w:rPr>
          <w:rFonts w:ascii="宋体" w:hAnsi="宋体" w:eastAsia="宋体"/>
          <w:b/>
          <w:bCs/>
          <w:sz w:val="24"/>
        </w:rPr>
        <w:t>020</w:t>
      </w:r>
      <w:r>
        <w:rPr>
          <w:rFonts w:hint="eastAsia" w:ascii="宋体" w:hAnsi="宋体" w:eastAsia="宋体"/>
          <w:b/>
          <w:bCs/>
          <w:sz w:val="24"/>
        </w:rPr>
        <w:t>年度学生就业情况</w:t>
      </w:r>
    </w:p>
    <w:tbl>
      <w:tblPr>
        <w:tblStyle w:val="10"/>
        <w:tblW w:w="87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8"/>
        <w:gridCol w:w="659"/>
        <w:gridCol w:w="491"/>
        <w:gridCol w:w="772"/>
        <w:gridCol w:w="695"/>
        <w:gridCol w:w="682"/>
        <w:gridCol w:w="641"/>
        <w:gridCol w:w="695"/>
        <w:gridCol w:w="436"/>
        <w:gridCol w:w="532"/>
        <w:gridCol w:w="450"/>
        <w:gridCol w:w="437"/>
        <w:gridCol w:w="463"/>
        <w:gridCol w:w="478"/>
        <w:gridCol w:w="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38" w:type="dxa"/>
            <w:vAlign w:val="center"/>
          </w:tcPr>
          <w:p>
            <w:pPr>
              <w:spacing w:line="500" w:lineRule="atLeast"/>
              <w:jc w:val="center"/>
              <w:rPr>
                <w:rFonts w:ascii="宋体" w:hAnsi="宋体" w:eastAsia="宋体" w:cs="方正仿宋简体"/>
                <w:bCs/>
                <w:color w:val="000000"/>
                <w:szCs w:val="21"/>
              </w:rPr>
            </w:pPr>
            <w:r>
              <w:rPr>
                <w:rFonts w:hint="eastAsia" w:ascii="宋体" w:hAnsi="宋体" w:eastAsia="宋体" w:cs="方正仿宋简体"/>
                <w:bCs/>
                <w:color w:val="000000"/>
                <w:szCs w:val="21"/>
              </w:rPr>
              <w:t>单位</w:t>
            </w:r>
          </w:p>
          <w:p>
            <w:pPr>
              <w:spacing w:line="500" w:lineRule="atLeast"/>
              <w:jc w:val="center"/>
              <w:rPr>
                <w:rFonts w:ascii="宋体" w:hAnsi="宋体" w:eastAsia="宋体" w:cs="方正仿宋简体"/>
                <w:bCs/>
                <w:color w:val="000000"/>
                <w:szCs w:val="21"/>
              </w:rPr>
            </w:pPr>
            <w:r>
              <w:rPr>
                <w:rFonts w:hint="eastAsia" w:ascii="宋体" w:hAnsi="宋体" w:eastAsia="宋体" w:cs="方正仿宋简体"/>
                <w:bCs/>
                <w:color w:val="000000"/>
                <w:szCs w:val="21"/>
              </w:rPr>
              <w:t>类别</w:t>
            </w:r>
          </w:p>
        </w:tc>
        <w:tc>
          <w:tcPr>
            <w:tcW w:w="659" w:type="dxa"/>
            <w:vAlign w:val="center"/>
          </w:tcPr>
          <w:p>
            <w:pPr>
              <w:spacing w:line="500" w:lineRule="atLeast"/>
              <w:jc w:val="center"/>
              <w:rPr>
                <w:rFonts w:ascii="宋体" w:hAnsi="宋体" w:eastAsia="宋体" w:cs="方正仿宋简体"/>
                <w:bCs/>
                <w:color w:val="000000"/>
                <w:szCs w:val="21"/>
              </w:rPr>
            </w:pPr>
            <w:r>
              <w:rPr>
                <w:rFonts w:hint="eastAsia" w:ascii="宋体" w:hAnsi="宋体" w:eastAsia="宋体" w:cs="方正仿宋简体"/>
                <w:bCs/>
                <w:color w:val="000000"/>
                <w:szCs w:val="21"/>
              </w:rPr>
              <w:t>年度</w:t>
            </w:r>
          </w:p>
        </w:tc>
        <w:tc>
          <w:tcPr>
            <w:tcW w:w="491" w:type="dxa"/>
            <w:vAlign w:val="center"/>
          </w:tcPr>
          <w:p>
            <w:pPr>
              <w:adjustRightInd w:val="0"/>
              <w:snapToGrid w:val="0"/>
              <w:spacing w:line="500" w:lineRule="atLeast"/>
              <w:jc w:val="center"/>
              <w:rPr>
                <w:rFonts w:ascii="宋体" w:hAnsi="宋体" w:eastAsia="宋体" w:cs="方正仿宋简体"/>
                <w:bCs/>
                <w:color w:val="000000"/>
                <w:szCs w:val="21"/>
              </w:rPr>
            </w:pPr>
            <w:r>
              <w:rPr>
                <w:rFonts w:hint="eastAsia" w:ascii="宋体" w:hAnsi="宋体" w:eastAsia="宋体" w:cs="方正仿宋简体"/>
                <w:bCs/>
                <w:color w:val="000000"/>
                <w:szCs w:val="21"/>
              </w:rPr>
              <w:t>党政</w:t>
            </w:r>
          </w:p>
          <w:p>
            <w:pPr>
              <w:spacing w:line="500" w:lineRule="atLeast"/>
              <w:jc w:val="center"/>
              <w:rPr>
                <w:rFonts w:ascii="宋体" w:hAnsi="宋体" w:eastAsia="宋体" w:cs="方正仿宋简体"/>
                <w:bCs/>
                <w:color w:val="000000"/>
                <w:szCs w:val="21"/>
              </w:rPr>
            </w:pPr>
            <w:r>
              <w:rPr>
                <w:rFonts w:hint="eastAsia" w:ascii="宋体" w:hAnsi="宋体" w:eastAsia="宋体" w:cs="方正仿宋简体"/>
                <w:bCs/>
                <w:color w:val="000000"/>
                <w:szCs w:val="21"/>
              </w:rPr>
              <w:t>机关</w:t>
            </w:r>
          </w:p>
        </w:tc>
        <w:tc>
          <w:tcPr>
            <w:tcW w:w="772" w:type="dxa"/>
            <w:vAlign w:val="center"/>
          </w:tcPr>
          <w:p>
            <w:pPr>
              <w:adjustRightInd w:val="0"/>
              <w:snapToGrid w:val="0"/>
              <w:spacing w:line="500" w:lineRule="atLeast"/>
              <w:jc w:val="center"/>
              <w:rPr>
                <w:rFonts w:ascii="宋体" w:hAnsi="宋体" w:eastAsia="宋体" w:cs="方正仿宋简体"/>
                <w:bCs/>
                <w:color w:val="000000"/>
                <w:szCs w:val="21"/>
              </w:rPr>
            </w:pPr>
            <w:r>
              <w:rPr>
                <w:rFonts w:hint="eastAsia" w:ascii="宋体" w:hAnsi="宋体" w:eastAsia="宋体" w:cs="方正仿宋简体"/>
                <w:bCs/>
                <w:color w:val="000000"/>
                <w:szCs w:val="21"/>
              </w:rPr>
              <w:t>高等教育单位</w:t>
            </w:r>
          </w:p>
        </w:tc>
        <w:tc>
          <w:tcPr>
            <w:tcW w:w="695" w:type="dxa"/>
            <w:vAlign w:val="center"/>
          </w:tcPr>
          <w:p>
            <w:pPr>
              <w:spacing w:line="500" w:lineRule="atLeast"/>
              <w:jc w:val="center"/>
              <w:rPr>
                <w:rFonts w:ascii="宋体" w:hAnsi="宋体" w:eastAsia="宋体" w:cs="方正仿宋简体"/>
                <w:bCs/>
                <w:color w:val="000000"/>
                <w:szCs w:val="21"/>
              </w:rPr>
            </w:pPr>
            <w:r>
              <w:rPr>
                <w:rFonts w:hint="eastAsia" w:ascii="宋体" w:hAnsi="宋体" w:eastAsia="宋体" w:cs="方正仿宋简体"/>
                <w:bCs/>
                <w:color w:val="000000"/>
                <w:szCs w:val="21"/>
              </w:rPr>
              <w:t>中初等教育单位</w:t>
            </w:r>
          </w:p>
        </w:tc>
        <w:tc>
          <w:tcPr>
            <w:tcW w:w="682" w:type="dxa"/>
            <w:vAlign w:val="center"/>
          </w:tcPr>
          <w:p>
            <w:pPr>
              <w:spacing w:line="500" w:lineRule="atLeast"/>
              <w:jc w:val="center"/>
              <w:rPr>
                <w:rFonts w:ascii="宋体" w:hAnsi="宋体" w:eastAsia="宋体" w:cs="方正仿宋简体"/>
                <w:bCs/>
                <w:color w:val="000000"/>
                <w:szCs w:val="21"/>
              </w:rPr>
            </w:pPr>
            <w:r>
              <w:rPr>
                <w:rFonts w:hint="eastAsia" w:ascii="宋体" w:hAnsi="宋体" w:eastAsia="宋体" w:cs="方正仿宋简体"/>
                <w:bCs/>
                <w:color w:val="000000"/>
                <w:szCs w:val="21"/>
              </w:rPr>
              <w:t>科研设计单位</w:t>
            </w:r>
          </w:p>
        </w:tc>
        <w:tc>
          <w:tcPr>
            <w:tcW w:w="641" w:type="dxa"/>
            <w:vAlign w:val="center"/>
          </w:tcPr>
          <w:p>
            <w:pPr>
              <w:spacing w:line="500" w:lineRule="atLeast"/>
              <w:jc w:val="center"/>
              <w:rPr>
                <w:rFonts w:ascii="宋体" w:hAnsi="宋体" w:eastAsia="宋体" w:cs="方正仿宋简体"/>
                <w:bCs/>
                <w:color w:val="000000"/>
                <w:szCs w:val="21"/>
              </w:rPr>
            </w:pPr>
            <w:r>
              <w:rPr>
                <w:rFonts w:hint="eastAsia" w:ascii="宋体" w:hAnsi="宋体" w:eastAsia="宋体" w:cs="方正仿宋简体"/>
                <w:bCs/>
                <w:color w:val="000000"/>
                <w:szCs w:val="21"/>
              </w:rPr>
              <w:t>医疗卫生单位</w:t>
            </w:r>
          </w:p>
        </w:tc>
        <w:tc>
          <w:tcPr>
            <w:tcW w:w="695" w:type="dxa"/>
            <w:vAlign w:val="center"/>
          </w:tcPr>
          <w:p>
            <w:pPr>
              <w:spacing w:line="500" w:lineRule="atLeast"/>
              <w:jc w:val="center"/>
              <w:rPr>
                <w:rFonts w:ascii="宋体" w:hAnsi="宋体" w:eastAsia="宋体" w:cs="方正仿宋简体"/>
                <w:bCs/>
                <w:color w:val="000000"/>
                <w:szCs w:val="21"/>
              </w:rPr>
            </w:pPr>
            <w:r>
              <w:rPr>
                <w:rFonts w:hint="eastAsia" w:ascii="宋体" w:hAnsi="宋体" w:eastAsia="宋体" w:cs="方正仿宋简体"/>
                <w:bCs/>
                <w:color w:val="000000"/>
                <w:szCs w:val="21"/>
              </w:rPr>
              <w:t>其他事业单位</w:t>
            </w:r>
          </w:p>
        </w:tc>
        <w:tc>
          <w:tcPr>
            <w:tcW w:w="436" w:type="dxa"/>
            <w:vAlign w:val="center"/>
          </w:tcPr>
          <w:p>
            <w:pPr>
              <w:spacing w:line="500" w:lineRule="atLeast"/>
              <w:jc w:val="center"/>
              <w:rPr>
                <w:rFonts w:ascii="宋体" w:hAnsi="宋体" w:eastAsia="宋体" w:cs="方正仿宋简体"/>
                <w:bCs/>
                <w:color w:val="000000"/>
                <w:szCs w:val="21"/>
              </w:rPr>
            </w:pPr>
            <w:r>
              <w:rPr>
                <w:rFonts w:hint="eastAsia" w:ascii="宋体" w:hAnsi="宋体" w:eastAsia="宋体" w:cs="方正仿宋简体"/>
                <w:bCs/>
                <w:color w:val="000000"/>
                <w:szCs w:val="21"/>
              </w:rPr>
              <w:t>国有企业</w:t>
            </w:r>
          </w:p>
        </w:tc>
        <w:tc>
          <w:tcPr>
            <w:tcW w:w="532" w:type="dxa"/>
            <w:vAlign w:val="center"/>
          </w:tcPr>
          <w:p>
            <w:pPr>
              <w:spacing w:line="500" w:lineRule="atLeast"/>
              <w:jc w:val="center"/>
              <w:rPr>
                <w:rFonts w:ascii="宋体" w:hAnsi="宋体" w:eastAsia="宋体" w:cs="方正仿宋简体"/>
                <w:bCs/>
                <w:color w:val="000000"/>
                <w:szCs w:val="21"/>
              </w:rPr>
            </w:pPr>
            <w:r>
              <w:rPr>
                <w:rFonts w:hint="eastAsia" w:ascii="宋体" w:hAnsi="宋体" w:eastAsia="宋体" w:cs="方正仿宋简体"/>
                <w:bCs/>
                <w:color w:val="000000"/>
                <w:szCs w:val="21"/>
              </w:rPr>
              <w:t>民营企业</w:t>
            </w:r>
          </w:p>
        </w:tc>
        <w:tc>
          <w:tcPr>
            <w:tcW w:w="450" w:type="dxa"/>
            <w:vAlign w:val="center"/>
          </w:tcPr>
          <w:p>
            <w:pPr>
              <w:spacing w:line="500" w:lineRule="atLeast"/>
              <w:jc w:val="center"/>
              <w:rPr>
                <w:rFonts w:ascii="宋体" w:hAnsi="宋体" w:eastAsia="宋体" w:cs="方正仿宋简体"/>
                <w:bCs/>
                <w:color w:val="000000"/>
                <w:szCs w:val="21"/>
              </w:rPr>
            </w:pPr>
            <w:r>
              <w:rPr>
                <w:rFonts w:hint="eastAsia" w:ascii="宋体" w:hAnsi="宋体" w:eastAsia="宋体" w:cs="方正仿宋简体"/>
                <w:bCs/>
                <w:color w:val="000000"/>
                <w:szCs w:val="21"/>
              </w:rPr>
              <w:t>三资</w:t>
            </w:r>
          </w:p>
          <w:p>
            <w:pPr>
              <w:spacing w:line="500" w:lineRule="atLeast"/>
              <w:jc w:val="center"/>
              <w:rPr>
                <w:rFonts w:ascii="宋体" w:hAnsi="宋体" w:eastAsia="宋体" w:cs="方正仿宋简体"/>
                <w:bCs/>
                <w:color w:val="000000"/>
                <w:szCs w:val="21"/>
              </w:rPr>
            </w:pPr>
            <w:r>
              <w:rPr>
                <w:rFonts w:hint="eastAsia" w:ascii="宋体" w:hAnsi="宋体" w:eastAsia="宋体" w:cs="方正仿宋简体"/>
                <w:bCs/>
                <w:color w:val="000000"/>
                <w:szCs w:val="21"/>
              </w:rPr>
              <w:t>企业</w:t>
            </w:r>
          </w:p>
        </w:tc>
        <w:tc>
          <w:tcPr>
            <w:tcW w:w="437" w:type="dxa"/>
            <w:vAlign w:val="center"/>
          </w:tcPr>
          <w:p>
            <w:pPr>
              <w:spacing w:line="500" w:lineRule="atLeast"/>
              <w:jc w:val="center"/>
              <w:rPr>
                <w:rFonts w:ascii="宋体" w:hAnsi="宋体" w:eastAsia="宋体" w:cs="方正仿宋简体"/>
                <w:bCs/>
                <w:color w:val="000000"/>
                <w:szCs w:val="21"/>
              </w:rPr>
            </w:pPr>
            <w:r>
              <w:rPr>
                <w:rFonts w:hint="eastAsia" w:ascii="宋体" w:hAnsi="宋体" w:eastAsia="宋体" w:cs="方正仿宋简体"/>
                <w:bCs/>
                <w:color w:val="000000"/>
                <w:szCs w:val="21"/>
              </w:rPr>
              <w:t>部队</w:t>
            </w:r>
          </w:p>
        </w:tc>
        <w:tc>
          <w:tcPr>
            <w:tcW w:w="463" w:type="dxa"/>
            <w:vAlign w:val="center"/>
          </w:tcPr>
          <w:p>
            <w:pPr>
              <w:spacing w:line="500" w:lineRule="atLeast"/>
              <w:jc w:val="center"/>
              <w:rPr>
                <w:rFonts w:ascii="宋体" w:hAnsi="宋体" w:eastAsia="宋体" w:cs="方正仿宋简体"/>
                <w:bCs/>
                <w:color w:val="000000"/>
                <w:szCs w:val="21"/>
              </w:rPr>
            </w:pPr>
            <w:r>
              <w:rPr>
                <w:rFonts w:hint="eastAsia" w:ascii="宋体" w:hAnsi="宋体" w:eastAsia="宋体" w:cs="方正仿宋简体"/>
                <w:bCs/>
                <w:color w:val="000000"/>
                <w:szCs w:val="21"/>
              </w:rPr>
              <w:t>自主创业</w:t>
            </w:r>
          </w:p>
        </w:tc>
        <w:tc>
          <w:tcPr>
            <w:tcW w:w="478" w:type="dxa"/>
            <w:vAlign w:val="center"/>
          </w:tcPr>
          <w:p>
            <w:pPr>
              <w:spacing w:line="500" w:lineRule="atLeast"/>
              <w:jc w:val="center"/>
              <w:rPr>
                <w:rFonts w:ascii="宋体" w:hAnsi="宋体" w:eastAsia="宋体" w:cs="方正仿宋简体"/>
                <w:bCs/>
                <w:color w:val="000000"/>
                <w:szCs w:val="21"/>
              </w:rPr>
            </w:pPr>
            <w:r>
              <w:rPr>
                <w:rFonts w:hint="eastAsia" w:ascii="宋体" w:hAnsi="宋体" w:eastAsia="宋体" w:cs="方正仿宋简体"/>
                <w:bCs/>
                <w:color w:val="000000"/>
                <w:szCs w:val="21"/>
              </w:rPr>
              <w:t>升学</w:t>
            </w:r>
          </w:p>
        </w:tc>
        <w:tc>
          <w:tcPr>
            <w:tcW w:w="394" w:type="dxa"/>
            <w:vAlign w:val="center"/>
          </w:tcPr>
          <w:p>
            <w:pPr>
              <w:spacing w:line="500" w:lineRule="atLeast"/>
              <w:jc w:val="center"/>
              <w:rPr>
                <w:rFonts w:ascii="宋体" w:hAnsi="宋体" w:eastAsia="宋体" w:cs="方正仿宋简体"/>
                <w:bCs/>
                <w:color w:val="000000"/>
                <w:szCs w:val="21"/>
              </w:rPr>
            </w:pPr>
            <w:r>
              <w:rPr>
                <w:rFonts w:hint="eastAsia" w:ascii="宋体" w:hAnsi="宋体" w:eastAsia="宋体" w:cs="方正仿宋简体"/>
                <w:bCs/>
                <w:color w:val="000000"/>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938" w:type="dxa"/>
            <w:vAlign w:val="center"/>
          </w:tcPr>
          <w:p>
            <w:pPr>
              <w:spacing w:line="500" w:lineRule="atLeast"/>
              <w:jc w:val="center"/>
              <w:rPr>
                <w:rFonts w:ascii="宋体" w:hAnsi="宋体" w:eastAsia="宋体" w:cs="Times New Roman"/>
                <w:color w:val="000000"/>
                <w:szCs w:val="21"/>
              </w:rPr>
            </w:pPr>
            <w:r>
              <w:rPr>
                <w:rFonts w:hint="eastAsia" w:ascii="宋体" w:hAnsi="宋体" w:eastAsia="宋体" w:cs="Times New Roman"/>
                <w:color w:val="000000"/>
                <w:szCs w:val="21"/>
              </w:rPr>
              <w:t>全日制</w:t>
            </w:r>
          </w:p>
          <w:p>
            <w:pPr>
              <w:spacing w:line="500" w:lineRule="atLeast"/>
              <w:jc w:val="center"/>
              <w:rPr>
                <w:rFonts w:ascii="宋体" w:hAnsi="宋体" w:eastAsia="宋体" w:cs="Times New Roman"/>
                <w:color w:val="000000"/>
                <w:szCs w:val="21"/>
              </w:rPr>
            </w:pPr>
            <w:r>
              <w:rPr>
                <w:rFonts w:hint="eastAsia" w:ascii="宋体" w:hAnsi="宋体" w:eastAsia="宋体" w:cs="Times New Roman"/>
                <w:color w:val="000000"/>
                <w:szCs w:val="21"/>
              </w:rPr>
              <w:t>硕士</w:t>
            </w:r>
          </w:p>
        </w:tc>
        <w:tc>
          <w:tcPr>
            <w:tcW w:w="659" w:type="dxa"/>
            <w:vAlign w:val="center"/>
          </w:tcPr>
          <w:p>
            <w:pPr>
              <w:spacing w:line="500" w:lineRule="atLeast"/>
              <w:jc w:val="center"/>
              <w:rPr>
                <w:rFonts w:ascii="宋体" w:hAnsi="宋体" w:eastAsia="宋体" w:cs="Times New Roman"/>
                <w:bCs/>
                <w:szCs w:val="21"/>
              </w:rPr>
            </w:pPr>
            <w:r>
              <w:rPr>
                <w:rFonts w:hint="eastAsia" w:ascii="宋体" w:hAnsi="宋体" w:eastAsia="宋体" w:cs="Times New Roman"/>
                <w:bCs/>
                <w:szCs w:val="21"/>
              </w:rPr>
              <w:t>2020</w:t>
            </w:r>
          </w:p>
        </w:tc>
        <w:tc>
          <w:tcPr>
            <w:tcW w:w="491" w:type="dxa"/>
            <w:vAlign w:val="center"/>
          </w:tcPr>
          <w:p>
            <w:pPr>
              <w:spacing w:line="500" w:lineRule="atLeast"/>
              <w:jc w:val="center"/>
              <w:rPr>
                <w:rFonts w:ascii="宋体" w:hAnsi="宋体" w:eastAsia="宋体" w:cs="Times New Roman"/>
                <w:bCs/>
                <w:szCs w:val="21"/>
              </w:rPr>
            </w:pPr>
            <w:r>
              <w:rPr>
                <w:rFonts w:hint="eastAsia" w:ascii="宋体" w:hAnsi="宋体" w:eastAsia="宋体" w:cs="Times New Roman"/>
                <w:bCs/>
                <w:szCs w:val="21"/>
              </w:rPr>
              <w:t>0</w:t>
            </w:r>
          </w:p>
        </w:tc>
        <w:tc>
          <w:tcPr>
            <w:tcW w:w="772" w:type="dxa"/>
            <w:vAlign w:val="center"/>
          </w:tcPr>
          <w:p>
            <w:pPr>
              <w:adjustRightInd w:val="0"/>
              <w:snapToGrid w:val="0"/>
              <w:spacing w:line="500" w:lineRule="atLeast"/>
              <w:jc w:val="center"/>
              <w:rPr>
                <w:rFonts w:ascii="宋体" w:hAnsi="宋体" w:eastAsia="宋体" w:cs="Times New Roman"/>
                <w:b/>
                <w:bCs/>
                <w:szCs w:val="21"/>
              </w:rPr>
            </w:pPr>
            <w:r>
              <w:rPr>
                <w:rFonts w:hint="eastAsia" w:ascii="宋体" w:hAnsi="宋体" w:eastAsia="宋体" w:cs="Times New Roman"/>
                <w:b/>
                <w:bCs/>
                <w:szCs w:val="21"/>
              </w:rPr>
              <w:t>2</w:t>
            </w:r>
          </w:p>
        </w:tc>
        <w:tc>
          <w:tcPr>
            <w:tcW w:w="695" w:type="dxa"/>
            <w:vAlign w:val="center"/>
          </w:tcPr>
          <w:p>
            <w:pPr>
              <w:spacing w:line="500" w:lineRule="atLeast"/>
              <w:jc w:val="center"/>
              <w:rPr>
                <w:rFonts w:ascii="宋体" w:hAnsi="宋体" w:eastAsia="宋体" w:cs="Times New Roman"/>
                <w:bCs/>
                <w:szCs w:val="21"/>
              </w:rPr>
            </w:pPr>
            <w:r>
              <w:rPr>
                <w:rFonts w:hint="eastAsia" w:ascii="宋体" w:hAnsi="宋体" w:eastAsia="宋体" w:cs="Times New Roman"/>
                <w:bCs/>
                <w:szCs w:val="21"/>
              </w:rPr>
              <w:t>0</w:t>
            </w:r>
          </w:p>
        </w:tc>
        <w:tc>
          <w:tcPr>
            <w:tcW w:w="682" w:type="dxa"/>
            <w:vAlign w:val="center"/>
          </w:tcPr>
          <w:p>
            <w:pPr>
              <w:spacing w:line="500" w:lineRule="atLeast"/>
              <w:jc w:val="center"/>
              <w:rPr>
                <w:rFonts w:ascii="宋体" w:hAnsi="宋体" w:eastAsia="宋体" w:cs="Times New Roman"/>
                <w:bCs/>
                <w:szCs w:val="21"/>
              </w:rPr>
            </w:pPr>
            <w:r>
              <w:rPr>
                <w:rFonts w:hint="eastAsia" w:ascii="宋体" w:hAnsi="宋体" w:eastAsia="宋体" w:cs="Times New Roman"/>
                <w:bCs/>
                <w:szCs w:val="21"/>
              </w:rPr>
              <w:t>0</w:t>
            </w:r>
          </w:p>
        </w:tc>
        <w:tc>
          <w:tcPr>
            <w:tcW w:w="641" w:type="dxa"/>
            <w:vAlign w:val="center"/>
          </w:tcPr>
          <w:p>
            <w:pPr>
              <w:spacing w:line="500" w:lineRule="atLeast"/>
              <w:jc w:val="center"/>
              <w:rPr>
                <w:rFonts w:ascii="宋体" w:hAnsi="宋体" w:eastAsia="宋体" w:cs="Times New Roman"/>
                <w:bCs/>
                <w:szCs w:val="21"/>
              </w:rPr>
            </w:pPr>
            <w:r>
              <w:rPr>
                <w:rFonts w:hint="eastAsia" w:ascii="宋体" w:hAnsi="宋体" w:eastAsia="宋体" w:cs="Times New Roman"/>
                <w:bCs/>
                <w:szCs w:val="21"/>
              </w:rPr>
              <w:t>0</w:t>
            </w:r>
          </w:p>
        </w:tc>
        <w:tc>
          <w:tcPr>
            <w:tcW w:w="695" w:type="dxa"/>
            <w:vAlign w:val="center"/>
          </w:tcPr>
          <w:p>
            <w:pPr>
              <w:spacing w:line="500" w:lineRule="atLeast"/>
              <w:jc w:val="center"/>
              <w:rPr>
                <w:rFonts w:ascii="宋体" w:hAnsi="宋体" w:eastAsia="宋体" w:cs="Times New Roman"/>
                <w:bCs/>
                <w:szCs w:val="21"/>
              </w:rPr>
            </w:pPr>
            <w:r>
              <w:rPr>
                <w:rFonts w:ascii="宋体" w:hAnsi="宋体" w:eastAsia="宋体" w:cs="Times New Roman"/>
                <w:bCs/>
                <w:szCs w:val="21"/>
              </w:rPr>
              <w:t>2</w:t>
            </w:r>
          </w:p>
        </w:tc>
        <w:tc>
          <w:tcPr>
            <w:tcW w:w="436" w:type="dxa"/>
            <w:vAlign w:val="center"/>
          </w:tcPr>
          <w:p>
            <w:pPr>
              <w:spacing w:line="500" w:lineRule="atLeast"/>
              <w:jc w:val="center"/>
              <w:rPr>
                <w:rFonts w:ascii="宋体" w:hAnsi="宋体" w:eastAsia="宋体" w:cs="Times New Roman"/>
                <w:bCs/>
                <w:szCs w:val="21"/>
              </w:rPr>
            </w:pPr>
            <w:r>
              <w:rPr>
                <w:rFonts w:hint="eastAsia" w:ascii="宋体" w:hAnsi="宋体" w:eastAsia="宋体" w:cs="Times New Roman"/>
                <w:bCs/>
                <w:szCs w:val="21"/>
              </w:rPr>
              <w:t>1</w:t>
            </w:r>
          </w:p>
        </w:tc>
        <w:tc>
          <w:tcPr>
            <w:tcW w:w="532" w:type="dxa"/>
            <w:vAlign w:val="center"/>
          </w:tcPr>
          <w:p>
            <w:pPr>
              <w:spacing w:line="500" w:lineRule="atLeast"/>
              <w:jc w:val="center"/>
              <w:rPr>
                <w:rFonts w:ascii="宋体" w:hAnsi="宋体" w:eastAsia="宋体" w:cs="Times New Roman"/>
                <w:bCs/>
                <w:szCs w:val="21"/>
              </w:rPr>
            </w:pPr>
            <w:r>
              <w:rPr>
                <w:rFonts w:hint="eastAsia" w:ascii="宋体" w:hAnsi="宋体" w:eastAsia="宋体" w:cs="Times New Roman"/>
                <w:bCs/>
                <w:szCs w:val="21"/>
              </w:rPr>
              <w:t>1</w:t>
            </w:r>
          </w:p>
        </w:tc>
        <w:tc>
          <w:tcPr>
            <w:tcW w:w="450" w:type="dxa"/>
            <w:vAlign w:val="center"/>
          </w:tcPr>
          <w:p>
            <w:pPr>
              <w:spacing w:line="500" w:lineRule="atLeast"/>
              <w:jc w:val="center"/>
              <w:rPr>
                <w:rFonts w:ascii="宋体" w:hAnsi="宋体" w:eastAsia="宋体" w:cs="Times New Roman"/>
                <w:bCs/>
                <w:szCs w:val="21"/>
              </w:rPr>
            </w:pPr>
            <w:r>
              <w:rPr>
                <w:rFonts w:hint="eastAsia" w:ascii="宋体" w:hAnsi="宋体" w:eastAsia="宋体" w:cs="Times New Roman"/>
                <w:bCs/>
                <w:szCs w:val="21"/>
              </w:rPr>
              <w:t>0</w:t>
            </w:r>
          </w:p>
        </w:tc>
        <w:tc>
          <w:tcPr>
            <w:tcW w:w="437" w:type="dxa"/>
            <w:vAlign w:val="center"/>
          </w:tcPr>
          <w:p>
            <w:pPr>
              <w:spacing w:line="500" w:lineRule="atLeast"/>
              <w:jc w:val="center"/>
              <w:rPr>
                <w:rFonts w:ascii="宋体" w:hAnsi="宋体" w:eastAsia="宋体" w:cs="Times New Roman"/>
                <w:bCs/>
                <w:szCs w:val="21"/>
              </w:rPr>
            </w:pPr>
            <w:r>
              <w:rPr>
                <w:rFonts w:hint="eastAsia" w:ascii="宋体" w:hAnsi="宋体" w:eastAsia="宋体" w:cs="Times New Roman"/>
                <w:bCs/>
                <w:szCs w:val="21"/>
              </w:rPr>
              <w:t>0</w:t>
            </w:r>
          </w:p>
        </w:tc>
        <w:tc>
          <w:tcPr>
            <w:tcW w:w="463" w:type="dxa"/>
            <w:vAlign w:val="center"/>
          </w:tcPr>
          <w:p>
            <w:pPr>
              <w:spacing w:line="500" w:lineRule="atLeast"/>
              <w:jc w:val="center"/>
              <w:rPr>
                <w:rFonts w:ascii="宋体" w:hAnsi="宋体" w:eastAsia="宋体" w:cs="Times New Roman"/>
                <w:bCs/>
                <w:szCs w:val="21"/>
              </w:rPr>
            </w:pPr>
            <w:r>
              <w:rPr>
                <w:rFonts w:hint="eastAsia" w:ascii="宋体" w:hAnsi="宋体" w:eastAsia="宋体" w:cs="Times New Roman"/>
                <w:bCs/>
                <w:szCs w:val="21"/>
              </w:rPr>
              <w:t>0</w:t>
            </w:r>
          </w:p>
        </w:tc>
        <w:tc>
          <w:tcPr>
            <w:tcW w:w="478" w:type="dxa"/>
            <w:vAlign w:val="center"/>
          </w:tcPr>
          <w:p>
            <w:pPr>
              <w:spacing w:line="500" w:lineRule="atLeast"/>
              <w:jc w:val="center"/>
              <w:rPr>
                <w:rFonts w:ascii="宋体" w:hAnsi="宋体" w:eastAsia="宋体" w:cs="Times New Roman"/>
                <w:bCs/>
                <w:szCs w:val="21"/>
              </w:rPr>
            </w:pPr>
            <w:r>
              <w:rPr>
                <w:rFonts w:hint="eastAsia" w:ascii="宋体" w:hAnsi="宋体" w:eastAsia="宋体" w:cs="Times New Roman"/>
                <w:bCs/>
                <w:szCs w:val="21"/>
              </w:rPr>
              <w:t>0</w:t>
            </w:r>
          </w:p>
        </w:tc>
        <w:tc>
          <w:tcPr>
            <w:tcW w:w="394" w:type="dxa"/>
            <w:vAlign w:val="center"/>
          </w:tcPr>
          <w:p>
            <w:pPr>
              <w:spacing w:line="500" w:lineRule="atLeast"/>
              <w:jc w:val="center"/>
              <w:rPr>
                <w:rFonts w:ascii="宋体" w:hAnsi="宋体" w:eastAsia="宋体" w:cs="Times New Roman"/>
                <w:bCs/>
                <w:szCs w:val="21"/>
              </w:rPr>
            </w:pPr>
            <w:r>
              <w:rPr>
                <w:rFonts w:ascii="宋体" w:hAnsi="宋体" w:eastAsia="宋体" w:cs="Times New Roman"/>
                <w:bCs/>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938" w:type="dxa"/>
            <w:vAlign w:val="center"/>
          </w:tcPr>
          <w:p>
            <w:pPr>
              <w:spacing w:line="500" w:lineRule="atLeast"/>
              <w:jc w:val="center"/>
              <w:rPr>
                <w:rFonts w:ascii="宋体" w:hAnsi="宋体" w:eastAsia="宋体" w:cs="Times New Roman"/>
                <w:color w:val="000000"/>
                <w:szCs w:val="21"/>
              </w:rPr>
            </w:pPr>
            <w:r>
              <w:rPr>
                <w:rFonts w:hint="eastAsia" w:ascii="宋体" w:hAnsi="宋体" w:eastAsia="宋体" w:cs="Times New Roman"/>
                <w:color w:val="000000"/>
                <w:szCs w:val="21"/>
              </w:rPr>
              <w:t>非全日制硕士</w:t>
            </w:r>
          </w:p>
        </w:tc>
        <w:tc>
          <w:tcPr>
            <w:tcW w:w="659" w:type="dxa"/>
            <w:vAlign w:val="center"/>
          </w:tcPr>
          <w:p>
            <w:pPr>
              <w:spacing w:line="500" w:lineRule="atLeast"/>
              <w:jc w:val="center"/>
              <w:rPr>
                <w:rFonts w:ascii="宋体" w:hAnsi="宋体" w:eastAsia="宋体" w:cs="Times New Roman"/>
                <w:bCs/>
                <w:szCs w:val="21"/>
              </w:rPr>
            </w:pPr>
            <w:r>
              <w:rPr>
                <w:rFonts w:hint="eastAsia" w:ascii="宋体" w:hAnsi="宋体" w:eastAsia="宋体" w:cs="Times New Roman"/>
                <w:bCs/>
                <w:szCs w:val="21"/>
              </w:rPr>
              <w:t>2020</w:t>
            </w:r>
          </w:p>
        </w:tc>
        <w:tc>
          <w:tcPr>
            <w:tcW w:w="491" w:type="dxa"/>
            <w:vAlign w:val="center"/>
          </w:tcPr>
          <w:p>
            <w:pPr>
              <w:spacing w:line="500" w:lineRule="atLeast"/>
              <w:jc w:val="center"/>
              <w:rPr>
                <w:rFonts w:ascii="宋体" w:hAnsi="宋体" w:eastAsia="宋体" w:cs="Times New Roman"/>
                <w:bCs/>
                <w:szCs w:val="21"/>
              </w:rPr>
            </w:pPr>
            <w:r>
              <w:rPr>
                <w:rFonts w:hint="eastAsia" w:ascii="宋体" w:hAnsi="宋体" w:eastAsia="宋体" w:cs="Times New Roman"/>
                <w:bCs/>
                <w:szCs w:val="21"/>
              </w:rPr>
              <w:t>0</w:t>
            </w:r>
          </w:p>
        </w:tc>
        <w:tc>
          <w:tcPr>
            <w:tcW w:w="772" w:type="dxa"/>
            <w:vAlign w:val="center"/>
          </w:tcPr>
          <w:p>
            <w:pPr>
              <w:adjustRightInd w:val="0"/>
              <w:snapToGrid w:val="0"/>
              <w:spacing w:line="500" w:lineRule="atLeast"/>
              <w:jc w:val="center"/>
              <w:rPr>
                <w:rFonts w:ascii="宋体" w:hAnsi="宋体" w:eastAsia="宋体" w:cs="Times New Roman"/>
                <w:b/>
                <w:bCs/>
                <w:szCs w:val="21"/>
              </w:rPr>
            </w:pPr>
            <w:r>
              <w:rPr>
                <w:rFonts w:hint="eastAsia" w:ascii="宋体" w:hAnsi="宋体" w:eastAsia="宋体" w:cs="Times New Roman"/>
                <w:b/>
                <w:bCs/>
                <w:szCs w:val="21"/>
              </w:rPr>
              <w:t>0</w:t>
            </w:r>
          </w:p>
        </w:tc>
        <w:tc>
          <w:tcPr>
            <w:tcW w:w="695" w:type="dxa"/>
            <w:vAlign w:val="center"/>
          </w:tcPr>
          <w:p>
            <w:pPr>
              <w:spacing w:line="500" w:lineRule="atLeast"/>
              <w:jc w:val="center"/>
              <w:rPr>
                <w:rFonts w:ascii="宋体" w:hAnsi="宋体" w:eastAsia="宋体" w:cs="Times New Roman"/>
                <w:bCs/>
                <w:szCs w:val="21"/>
              </w:rPr>
            </w:pPr>
            <w:r>
              <w:rPr>
                <w:rFonts w:hint="eastAsia" w:ascii="宋体" w:hAnsi="宋体" w:eastAsia="宋体" w:cs="Times New Roman"/>
                <w:bCs/>
                <w:szCs w:val="21"/>
              </w:rPr>
              <w:t>0</w:t>
            </w:r>
          </w:p>
        </w:tc>
        <w:tc>
          <w:tcPr>
            <w:tcW w:w="682" w:type="dxa"/>
            <w:vAlign w:val="center"/>
          </w:tcPr>
          <w:p>
            <w:pPr>
              <w:spacing w:line="500" w:lineRule="atLeast"/>
              <w:jc w:val="center"/>
              <w:rPr>
                <w:rFonts w:ascii="宋体" w:hAnsi="宋体" w:eastAsia="宋体" w:cs="Times New Roman"/>
                <w:bCs/>
                <w:szCs w:val="21"/>
              </w:rPr>
            </w:pPr>
            <w:r>
              <w:rPr>
                <w:rFonts w:hint="eastAsia" w:ascii="宋体" w:hAnsi="宋体" w:eastAsia="宋体" w:cs="Times New Roman"/>
                <w:bCs/>
                <w:szCs w:val="21"/>
              </w:rPr>
              <w:t>0</w:t>
            </w:r>
          </w:p>
        </w:tc>
        <w:tc>
          <w:tcPr>
            <w:tcW w:w="641" w:type="dxa"/>
            <w:vAlign w:val="center"/>
          </w:tcPr>
          <w:p>
            <w:pPr>
              <w:spacing w:line="500" w:lineRule="atLeast"/>
              <w:jc w:val="center"/>
              <w:rPr>
                <w:rFonts w:ascii="宋体" w:hAnsi="宋体" w:eastAsia="宋体" w:cs="Times New Roman"/>
                <w:bCs/>
                <w:szCs w:val="21"/>
              </w:rPr>
            </w:pPr>
            <w:r>
              <w:rPr>
                <w:rFonts w:hint="eastAsia" w:ascii="宋体" w:hAnsi="宋体" w:eastAsia="宋体" w:cs="Times New Roman"/>
                <w:bCs/>
                <w:szCs w:val="21"/>
              </w:rPr>
              <w:t>0</w:t>
            </w:r>
          </w:p>
        </w:tc>
        <w:tc>
          <w:tcPr>
            <w:tcW w:w="695" w:type="dxa"/>
            <w:vAlign w:val="center"/>
          </w:tcPr>
          <w:p>
            <w:pPr>
              <w:spacing w:line="500" w:lineRule="atLeast"/>
              <w:jc w:val="center"/>
              <w:rPr>
                <w:rFonts w:ascii="宋体" w:hAnsi="宋体" w:eastAsia="宋体" w:cs="Times New Roman"/>
                <w:bCs/>
                <w:szCs w:val="21"/>
              </w:rPr>
            </w:pPr>
            <w:r>
              <w:rPr>
                <w:rFonts w:hint="eastAsia" w:ascii="宋体" w:hAnsi="宋体" w:eastAsia="宋体" w:cs="Times New Roman"/>
                <w:bCs/>
                <w:szCs w:val="21"/>
              </w:rPr>
              <w:t>0</w:t>
            </w:r>
          </w:p>
        </w:tc>
        <w:tc>
          <w:tcPr>
            <w:tcW w:w="436" w:type="dxa"/>
            <w:vAlign w:val="center"/>
          </w:tcPr>
          <w:p>
            <w:pPr>
              <w:spacing w:line="500" w:lineRule="atLeast"/>
              <w:jc w:val="center"/>
              <w:rPr>
                <w:rFonts w:ascii="宋体" w:hAnsi="宋体" w:eastAsia="宋体" w:cs="Times New Roman"/>
                <w:bCs/>
                <w:szCs w:val="21"/>
              </w:rPr>
            </w:pPr>
            <w:r>
              <w:rPr>
                <w:rFonts w:hint="eastAsia" w:ascii="宋体" w:hAnsi="宋体" w:eastAsia="宋体" w:cs="Times New Roman"/>
                <w:bCs/>
                <w:szCs w:val="21"/>
              </w:rPr>
              <w:t>0</w:t>
            </w:r>
          </w:p>
        </w:tc>
        <w:tc>
          <w:tcPr>
            <w:tcW w:w="532" w:type="dxa"/>
            <w:vAlign w:val="center"/>
          </w:tcPr>
          <w:p>
            <w:pPr>
              <w:spacing w:line="500" w:lineRule="atLeast"/>
              <w:jc w:val="center"/>
              <w:rPr>
                <w:rFonts w:ascii="宋体" w:hAnsi="宋体" w:eastAsia="宋体" w:cs="Times New Roman"/>
                <w:bCs/>
                <w:szCs w:val="21"/>
              </w:rPr>
            </w:pPr>
            <w:r>
              <w:rPr>
                <w:rFonts w:hint="eastAsia" w:ascii="宋体" w:hAnsi="宋体" w:eastAsia="宋体" w:cs="Times New Roman"/>
                <w:bCs/>
                <w:szCs w:val="21"/>
              </w:rPr>
              <w:t>0</w:t>
            </w:r>
          </w:p>
        </w:tc>
        <w:tc>
          <w:tcPr>
            <w:tcW w:w="450" w:type="dxa"/>
            <w:vAlign w:val="center"/>
          </w:tcPr>
          <w:p>
            <w:pPr>
              <w:spacing w:line="500" w:lineRule="atLeast"/>
              <w:jc w:val="center"/>
              <w:rPr>
                <w:rFonts w:ascii="宋体" w:hAnsi="宋体" w:eastAsia="宋体" w:cs="Times New Roman"/>
                <w:bCs/>
                <w:szCs w:val="21"/>
              </w:rPr>
            </w:pPr>
            <w:r>
              <w:rPr>
                <w:rFonts w:hint="eastAsia" w:ascii="宋体" w:hAnsi="宋体" w:eastAsia="宋体" w:cs="Times New Roman"/>
                <w:bCs/>
                <w:szCs w:val="21"/>
              </w:rPr>
              <w:t>0</w:t>
            </w:r>
          </w:p>
        </w:tc>
        <w:tc>
          <w:tcPr>
            <w:tcW w:w="437" w:type="dxa"/>
            <w:vAlign w:val="center"/>
          </w:tcPr>
          <w:p>
            <w:pPr>
              <w:spacing w:line="500" w:lineRule="atLeast"/>
              <w:jc w:val="center"/>
              <w:rPr>
                <w:rFonts w:ascii="宋体" w:hAnsi="宋体" w:eastAsia="宋体" w:cs="Times New Roman"/>
                <w:bCs/>
                <w:szCs w:val="21"/>
              </w:rPr>
            </w:pPr>
            <w:r>
              <w:rPr>
                <w:rFonts w:hint="eastAsia" w:ascii="宋体" w:hAnsi="宋体" w:eastAsia="宋体" w:cs="Times New Roman"/>
                <w:bCs/>
                <w:szCs w:val="21"/>
              </w:rPr>
              <w:t>0</w:t>
            </w:r>
          </w:p>
        </w:tc>
        <w:tc>
          <w:tcPr>
            <w:tcW w:w="463" w:type="dxa"/>
            <w:vAlign w:val="center"/>
          </w:tcPr>
          <w:p>
            <w:pPr>
              <w:spacing w:line="500" w:lineRule="atLeast"/>
              <w:jc w:val="center"/>
              <w:rPr>
                <w:rFonts w:ascii="宋体" w:hAnsi="宋体" w:eastAsia="宋体" w:cs="Times New Roman"/>
                <w:bCs/>
                <w:szCs w:val="21"/>
              </w:rPr>
            </w:pPr>
            <w:r>
              <w:rPr>
                <w:rFonts w:hint="eastAsia" w:ascii="宋体" w:hAnsi="宋体" w:eastAsia="宋体" w:cs="Times New Roman"/>
                <w:bCs/>
                <w:szCs w:val="21"/>
              </w:rPr>
              <w:t>0</w:t>
            </w:r>
          </w:p>
        </w:tc>
        <w:tc>
          <w:tcPr>
            <w:tcW w:w="478" w:type="dxa"/>
            <w:vAlign w:val="center"/>
          </w:tcPr>
          <w:p>
            <w:pPr>
              <w:spacing w:line="500" w:lineRule="atLeast"/>
              <w:jc w:val="center"/>
              <w:rPr>
                <w:rFonts w:ascii="宋体" w:hAnsi="宋体" w:eastAsia="宋体" w:cs="Times New Roman"/>
                <w:bCs/>
                <w:szCs w:val="21"/>
              </w:rPr>
            </w:pPr>
            <w:r>
              <w:rPr>
                <w:rFonts w:hint="eastAsia" w:ascii="宋体" w:hAnsi="宋体" w:eastAsia="宋体" w:cs="Times New Roman"/>
                <w:bCs/>
                <w:szCs w:val="21"/>
              </w:rPr>
              <w:t>0</w:t>
            </w:r>
          </w:p>
        </w:tc>
        <w:tc>
          <w:tcPr>
            <w:tcW w:w="394" w:type="dxa"/>
            <w:vAlign w:val="center"/>
          </w:tcPr>
          <w:p>
            <w:pPr>
              <w:spacing w:line="500" w:lineRule="atLeast"/>
              <w:jc w:val="center"/>
              <w:rPr>
                <w:rFonts w:ascii="宋体" w:hAnsi="宋体" w:eastAsia="宋体" w:cs="Times New Roman"/>
                <w:bCs/>
                <w:szCs w:val="21"/>
              </w:rPr>
            </w:pPr>
            <w:r>
              <w:rPr>
                <w:rFonts w:hint="eastAsia" w:ascii="宋体" w:hAnsi="宋体" w:eastAsia="宋体" w:cs="Times New Roman"/>
                <w:bCs/>
                <w:szCs w:val="21"/>
              </w:rPr>
              <w:t>0</w:t>
            </w:r>
          </w:p>
        </w:tc>
      </w:tr>
    </w:tbl>
    <w:p>
      <w:pPr>
        <w:spacing w:line="500" w:lineRule="atLeast"/>
        <w:ind w:firstLine="420"/>
        <w:rPr>
          <w:rFonts w:ascii="黑体" w:hAnsi="黑体" w:eastAsia="黑体"/>
          <w:bCs/>
          <w:sz w:val="24"/>
        </w:rPr>
      </w:pPr>
    </w:p>
    <w:p>
      <w:pPr>
        <w:pStyle w:val="2"/>
        <w:spacing w:before="0" w:after="0" w:line="500" w:lineRule="atLeast"/>
        <w:rPr>
          <w:rFonts w:ascii="黑体" w:hAnsi="黑体" w:eastAsia="黑体" w:cs="黑体"/>
          <w:b w:val="0"/>
          <w:bCs w:val="0"/>
        </w:rPr>
      </w:pPr>
      <w:bookmarkStart w:id="12" w:name="OLE_LINK44"/>
      <w:bookmarkStart w:id="13" w:name="OLE_LINK43"/>
      <w:r>
        <w:rPr>
          <w:rFonts w:hint="eastAsia" w:ascii="黑体" w:hAnsi="黑体" w:eastAsia="黑体" w:cs="黑体"/>
          <w:b w:val="0"/>
          <w:bCs w:val="0"/>
        </w:rPr>
        <w:t>二、工作特色与成效</w:t>
      </w:r>
    </w:p>
    <w:p>
      <w:pPr>
        <w:spacing w:line="500" w:lineRule="atLeast"/>
        <w:rPr>
          <w:rFonts w:ascii="楷体" w:hAnsi="楷体" w:eastAsia="楷体" w:cs="楷体"/>
          <w:sz w:val="32"/>
          <w:szCs w:val="32"/>
        </w:rPr>
      </w:pPr>
      <w:r>
        <w:rPr>
          <w:rFonts w:hint="eastAsia" w:ascii="楷体" w:hAnsi="楷体" w:eastAsia="楷体" w:cs="楷体"/>
          <w:sz w:val="32"/>
          <w:szCs w:val="32"/>
        </w:rPr>
        <w:t>（一）制度建设</w:t>
      </w:r>
    </w:p>
    <w:p>
      <w:pPr>
        <w:pStyle w:val="16"/>
        <w:spacing w:line="500" w:lineRule="atLeast"/>
        <w:ind w:firstLine="640"/>
        <w:rPr>
          <w:rFonts w:ascii="仿宋" w:hAnsi="仿宋" w:eastAsia="仿宋" w:cs="仿宋"/>
          <w:sz w:val="32"/>
          <w:szCs w:val="32"/>
        </w:rPr>
      </w:pPr>
      <w:r>
        <w:rPr>
          <w:rFonts w:hint="eastAsia" w:ascii="仿宋" w:hAnsi="仿宋" w:eastAsia="仿宋" w:cs="仿宋"/>
          <w:sz w:val="32"/>
          <w:szCs w:val="32"/>
        </w:rPr>
        <w:t>1.招生管理制度建设</w:t>
      </w:r>
    </w:p>
    <w:p>
      <w:pPr>
        <w:spacing w:line="500" w:lineRule="atLeast"/>
        <w:ind w:firstLine="480" w:firstLineChars="200"/>
        <w:rPr>
          <w:rFonts w:ascii="宋体" w:hAnsi="宋体" w:eastAsia="宋体"/>
          <w:color w:val="000000"/>
          <w:sz w:val="24"/>
        </w:rPr>
      </w:pPr>
      <w:r>
        <w:rPr>
          <w:rFonts w:hint="eastAsia" w:ascii="宋体" w:hAnsi="宋体" w:eastAsia="宋体"/>
          <w:color w:val="000000"/>
          <w:sz w:val="24"/>
        </w:rPr>
        <w:t>经济学院依据《福建农林大学2020年招收攻读硕士学位研究生复试录取办法》，制定《福建农林大学经济学院2020年硕士学位研究生复试录取实施细则》，严格遵守招生管理制度，确保研究生招生录取工作科学公正、规范透明。</w:t>
      </w:r>
    </w:p>
    <w:p>
      <w:pPr>
        <w:pStyle w:val="16"/>
        <w:spacing w:line="500" w:lineRule="atLeast"/>
        <w:ind w:firstLine="640"/>
        <w:rPr>
          <w:rFonts w:ascii="仿宋" w:hAnsi="仿宋" w:eastAsia="仿宋" w:cs="仿宋"/>
          <w:sz w:val="32"/>
          <w:szCs w:val="32"/>
        </w:rPr>
      </w:pPr>
      <w:r>
        <w:rPr>
          <w:rFonts w:hint="eastAsia" w:ascii="仿宋" w:hAnsi="仿宋" w:eastAsia="仿宋" w:cs="仿宋"/>
          <w:sz w:val="32"/>
          <w:szCs w:val="32"/>
        </w:rPr>
        <w:t>2.教学管理制度建设</w:t>
      </w:r>
    </w:p>
    <w:p>
      <w:pPr>
        <w:spacing w:line="500" w:lineRule="atLeast"/>
        <w:ind w:firstLine="480" w:firstLineChars="200"/>
        <w:rPr>
          <w:rFonts w:ascii="宋体" w:hAnsi="宋体" w:eastAsia="宋体"/>
          <w:color w:val="000000"/>
          <w:sz w:val="24"/>
        </w:rPr>
      </w:pPr>
      <w:r>
        <w:rPr>
          <w:rFonts w:hint="eastAsia" w:ascii="宋体" w:hAnsi="宋体" w:eastAsia="宋体"/>
          <w:color w:val="000000"/>
          <w:sz w:val="24"/>
        </w:rPr>
        <w:t>本学位点已有较为完善的研究生教学管理制度，为保证培养质量提供了有力的制度支持。</w:t>
      </w:r>
    </w:p>
    <w:p>
      <w:pPr>
        <w:spacing w:line="500" w:lineRule="atLeast"/>
        <w:ind w:firstLine="482" w:firstLineChars="200"/>
        <w:rPr>
          <w:rFonts w:ascii="宋体" w:hAnsi="宋体" w:eastAsia="宋体"/>
          <w:color w:val="000000"/>
          <w:sz w:val="24"/>
        </w:rPr>
      </w:pPr>
      <w:r>
        <w:rPr>
          <w:rFonts w:ascii="宋体" w:hAnsi="宋体" w:eastAsia="宋体"/>
          <w:b/>
          <w:bCs/>
          <w:color w:val="000000"/>
          <w:sz w:val="24"/>
        </w:rPr>
        <w:t>(1)</w:t>
      </w:r>
      <w:r>
        <w:rPr>
          <w:rFonts w:hint="eastAsia" w:ascii="宋体" w:hAnsi="宋体" w:eastAsia="宋体"/>
          <w:b/>
          <w:bCs/>
          <w:color w:val="000000"/>
          <w:sz w:val="24"/>
        </w:rPr>
        <w:t>课程教学</w:t>
      </w:r>
      <w:r>
        <w:rPr>
          <w:rFonts w:hint="eastAsia" w:ascii="宋体" w:hAnsi="宋体" w:eastAsia="宋体"/>
          <w:color w:val="000000"/>
          <w:sz w:val="24"/>
        </w:rPr>
        <w:t>：《福建农林大学研究生课程教学管理办法》（</w:t>
      </w:r>
      <w:r>
        <w:rPr>
          <w:rFonts w:ascii="宋体" w:hAnsi="宋体" w:eastAsia="宋体"/>
          <w:color w:val="000000"/>
          <w:sz w:val="24"/>
        </w:rPr>
        <w:t>2016</w:t>
      </w:r>
      <w:r>
        <w:rPr>
          <w:rFonts w:hint="eastAsia" w:ascii="宋体" w:hAnsi="宋体" w:eastAsia="宋体"/>
          <w:color w:val="000000"/>
          <w:sz w:val="24"/>
        </w:rPr>
        <w:t>版）对任课教师资格条件、课程设置要求、教学大纲与教学计划的制定和管理、教材主要参考书与选读文献、教学内容与方式、课程安排与教学纪律、选课修课、课程考核、成绩评定及管理、教学质量评价、教学档案管理等都进行了详细的规范。</w:t>
      </w:r>
    </w:p>
    <w:p>
      <w:pPr>
        <w:spacing w:line="500" w:lineRule="atLeast"/>
        <w:ind w:firstLine="482" w:firstLineChars="200"/>
        <w:rPr>
          <w:rFonts w:ascii="宋体" w:hAnsi="宋体" w:eastAsia="宋体"/>
          <w:color w:val="000000"/>
          <w:sz w:val="24"/>
        </w:rPr>
      </w:pPr>
      <w:r>
        <w:rPr>
          <w:rFonts w:ascii="宋体" w:hAnsi="宋体" w:eastAsia="宋体"/>
          <w:b/>
          <w:bCs/>
          <w:color w:val="000000"/>
          <w:sz w:val="24"/>
        </w:rPr>
        <w:t>(2)</w:t>
      </w:r>
      <w:r>
        <w:rPr>
          <w:rFonts w:hint="eastAsia" w:ascii="宋体" w:hAnsi="宋体" w:eastAsia="宋体"/>
          <w:b/>
          <w:bCs/>
          <w:color w:val="000000"/>
          <w:sz w:val="24"/>
        </w:rPr>
        <w:t>实践教学</w:t>
      </w:r>
      <w:r>
        <w:rPr>
          <w:rFonts w:hint="eastAsia" w:ascii="宋体" w:hAnsi="宋体" w:eastAsia="宋体"/>
          <w:color w:val="000000"/>
          <w:sz w:val="24"/>
        </w:rPr>
        <w:t>：《福建农林大学全日制硕士专业学位研究生专业实践管理办法（试行）》（</w:t>
      </w:r>
      <w:r>
        <w:rPr>
          <w:rFonts w:ascii="宋体" w:hAnsi="宋体" w:eastAsia="宋体"/>
          <w:color w:val="000000"/>
          <w:sz w:val="24"/>
        </w:rPr>
        <w:t>2012</w:t>
      </w:r>
      <w:r>
        <w:rPr>
          <w:rFonts w:hint="eastAsia" w:ascii="宋体" w:hAnsi="宋体" w:eastAsia="宋体"/>
          <w:color w:val="000000"/>
          <w:sz w:val="24"/>
        </w:rPr>
        <w:t>版）、</w:t>
      </w:r>
      <w:r>
        <w:rPr>
          <w:rFonts w:hint="eastAsia" w:ascii="宋体" w:hAnsi="宋体" w:eastAsia="宋体"/>
          <w:sz w:val="24"/>
        </w:rPr>
        <w:t>《</w:t>
      </w:r>
      <w:r>
        <w:rPr>
          <w:rFonts w:hint="eastAsia" w:ascii="宋体" w:hAnsi="宋体" w:eastAsia="宋体"/>
          <w:color w:val="000000"/>
          <w:sz w:val="24"/>
        </w:rPr>
        <w:t>福建农林大学全日制硕士专业学位研究生实践基地建设及管理暂行办法》（</w:t>
      </w:r>
      <w:r>
        <w:rPr>
          <w:rFonts w:ascii="宋体" w:hAnsi="宋体" w:eastAsia="宋体"/>
          <w:color w:val="000000"/>
          <w:sz w:val="24"/>
        </w:rPr>
        <w:t>2011</w:t>
      </w:r>
      <w:r>
        <w:rPr>
          <w:rFonts w:hint="eastAsia" w:ascii="宋体" w:hAnsi="宋体" w:eastAsia="宋体"/>
          <w:color w:val="000000"/>
          <w:sz w:val="24"/>
        </w:rPr>
        <w:t>版）分别对研究生的专业实践教学过程和专业实践基地建设进行了规范，并对对学校和学院相关管理部门的权责进行了详细的规定。</w:t>
      </w:r>
    </w:p>
    <w:p>
      <w:pPr>
        <w:spacing w:line="500" w:lineRule="atLeast"/>
        <w:ind w:firstLine="482" w:firstLineChars="200"/>
        <w:rPr>
          <w:rFonts w:ascii="宋体" w:hAnsi="宋体" w:eastAsia="宋体"/>
          <w:color w:val="000000"/>
          <w:sz w:val="24"/>
        </w:rPr>
      </w:pPr>
      <w:r>
        <w:rPr>
          <w:rFonts w:ascii="宋体" w:hAnsi="宋体" w:eastAsia="宋体"/>
          <w:b/>
          <w:bCs/>
          <w:color w:val="000000"/>
          <w:sz w:val="24"/>
        </w:rPr>
        <w:t>(3)</w:t>
      </w:r>
      <w:r>
        <w:rPr>
          <w:rFonts w:hint="eastAsia" w:ascii="宋体" w:hAnsi="宋体" w:eastAsia="宋体"/>
          <w:b/>
          <w:bCs/>
          <w:color w:val="000000"/>
          <w:sz w:val="24"/>
        </w:rPr>
        <w:t>毕业论文</w:t>
      </w:r>
      <w:r>
        <w:rPr>
          <w:rFonts w:hint="eastAsia" w:ascii="宋体" w:hAnsi="宋体" w:eastAsia="宋体"/>
          <w:color w:val="000000"/>
          <w:sz w:val="24"/>
        </w:rPr>
        <w:t>：《福建农林大学全日制专业学位研究生学位论文开题报告暂行规定（</w:t>
      </w:r>
      <w:r>
        <w:rPr>
          <w:rFonts w:ascii="宋体" w:hAnsi="宋体" w:eastAsia="宋体"/>
          <w:color w:val="000000"/>
          <w:sz w:val="24"/>
        </w:rPr>
        <w:t>2013</w:t>
      </w:r>
      <w:r>
        <w:rPr>
          <w:rFonts w:hint="eastAsia" w:ascii="宋体" w:hAnsi="宋体" w:eastAsia="宋体"/>
          <w:color w:val="000000"/>
          <w:sz w:val="24"/>
        </w:rPr>
        <w:t>年修订）》、《福建农林大学专业学位研究生中期考核办法（试行）》、（</w:t>
      </w:r>
      <w:r>
        <w:rPr>
          <w:rFonts w:ascii="宋体" w:hAnsi="宋体" w:eastAsia="宋体"/>
          <w:color w:val="000000"/>
          <w:sz w:val="24"/>
        </w:rPr>
        <w:t>2014</w:t>
      </w:r>
      <w:r>
        <w:rPr>
          <w:rFonts w:hint="eastAsia" w:ascii="宋体" w:hAnsi="宋体" w:eastAsia="宋体"/>
          <w:color w:val="000000"/>
          <w:sz w:val="24"/>
        </w:rPr>
        <w:t>版）、</w:t>
      </w:r>
      <w:r>
        <w:rPr>
          <w:rFonts w:hint="eastAsia" w:ascii="宋体" w:hAnsi="宋体" w:eastAsia="宋体"/>
          <w:sz w:val="24"/>
        </w:rPr>
        <w:t>《福建农林大学研究生学位论文评审工作管理办法（试行）》（</w:t>
      </w:r>
      <w:r>
        <w:rPr>
          <w:rFonts w:ascii="宋体" w:hAnsi="宋体" w:eastAsia="宋体"/>
          <w:sz w:val="24"/>
        </w:rPr>
        <w:t>2016</w:t>
      </w:r>
      <w:r>
        <w:rPr>
          <w:rFonts w:hint="eastAsia" w:ascii="宋体" w:hAnsi="宋体" w:eastAsia="宋体"/>
          <w:sz w:val="24"/>
        </w:rPr>
        <w:t>版）、</w:t>
      </w:r>
      <w:r>
        <w:rPr>
          <w:rFonts w:hint="eastAsia" w:ascii="宋体" w:hAnsi="宋体" w:eastAsia="宋体"/>
          <w:color w:val="000000"/>
          <w:sz w:val="24"/>
        </w:rPr>
        <w:t>《经济学院研究生论文评审工作管理实施细则》（</w:t>
      </w:r>
      <w:r>
        <w:rPr>
          <w:rFonts w:ascii="宋体" w:hAnsi="宋体" w:eastAsia="宋体"/>
          <w:color w:val="000000"/>
          <w:sz w:val="24"/>
        </w:rPr>
        <w:t>2017</w:t>
      </w:r>
      <w:r>
        <w:rPr>
          <w:rFonts w:hint="eastAsia" w:ascii="宋体" w:hAnsi="宋体" w:eastAsia="宋体"/>
          <w:color w:val="000000"/>
          <w:sz w:val="24"/>
        </w:rPr>
        <w:t>版）等对研究生的毕业论文从开题到送审进行全过程的监管。</w:t>
      </w:r>
    </w:p>
    <w:p>
      <w:pPr>
        <w:spacing w:line="500" w:lineRule="atLeast"/>
        <w:ind w:firstLine="482" w:firstLineChars="200"/>
        <w:rPr>
          <w:rFonts w:ascii="宋体" w:hAnsi="宋体" w:eastAsia="宋体"/>
          <w:color w:val="000000"/>
          <w:sz w:val="24"/>
        </w:rPr>
      </w:pPr>
      <w:r>
        <w:rPr>
          <w:rFonts w:ascii="宋体" w:hAnsi="宋体" w:eastAsia="宋体"/>
          <w:b/>
          <w:bCs/>
          <w:color w:val="000000"/>
          <w:sz w:val="24"/>
        </w:rPr>
        <w:t>(4)</w:t>
      </w:r>
      <w:r>
        <w:rPr>
          <w:rFonts w:hint="eastAsia" w:ascii="宋体" w:hAnsi="宋体" w:eastAsia="宋体"/>
          <w:b/>
          <w:bCs/>
          <w:color w:val="000000"/>
          <w:sz w:val="24"/>
        </w:rPr>
        <w:t>论文答辩及学位授予</w:t>
      </w:r>
      <w:r>
        <w:rPr>
          <w:rFonts w:hint="eastAsia" w:ascii="宋体" w:hAnsi="宋体" w:eastAsia="宋体"/>
          <w:color w:val="000000"/>
          <w:sz w:val="24"/>
        </w:rPr>
        <w:t>：为保证研究生学位授予质量，加强学位论文答辩管理工作，根据《福建农林大学学位授予实施细则（</w:t>
      </w:r>
      <w:r>
        <w:rPr>
          <w:rFonts w:ascii="宋体" w:hAnsi="宋体" w:eastAsia="宋体"/>
          <w:color w:val="000000"/>
          <w:sz w:val="24"/>
        </w:rPr>
        <w:t>2017</w:t>
      </w:r>
      <w:r>
        <w:rPr>
          <w:rFonts w:hint="eastAsia" w:ascii="宋体" w:hAnsi="宋体" w:eastAsia="宋体"/>
          <w:color w:val="000000"/>
          <w:sz w:val="24"/>
        </w:rPr>
        <w:t>年</w:t>
      </w:r>
      <w:r>
        <w:rPr>
          <w:rFonts w:ascii="宋体" w:hAnsi="宋体" w:eastAsia="宋体"/>
          <w:color w:val="000000"/>
          <w:sz w:val="24"/>
        </w:rPr>
        <w:t>12</w:t>
      </w:r>
      <w:r>
        <w:rPr>
          <w:rFonts w:hint="eastAsia" w:ascii="宋体" w:hAnsi="宋体" w:eastAsia="宋体"/>
          <w:color w:val="000000"/>
          <w:sz w:val="24"/>
        </w:rPr>
        <w:t>月修订）》规定，学校每年制定并发布《福建农林大学关于规范研究生学位论文答辩程序的通知》规范学位论文答辩程序。同时为做好全国和福建省优秀学位论文评选的推荐工作，鼓励研究生刻苦钻研，努力创新，制定《福建农林大学研究生优秀学位论文评选及奖励办法（试行）》（</w:t>
      </w:r>
      <w:r>
        <w:rPr>
          <w:rFonts w:ascii="宋体" w:hAnsi="宋体" w:eastAsia="宋体"/>
          <w:color w:val="000000"/>
          <w:sz w:val="24"/>
        </w:rPr>
        <w:t>2016</w:t>
      </w:r>
      <w:r>
        <w:rPr>
          <w:rFonts w:hint="eastAsia" w:ascii="宋体" w:hAnsi="宋体" w:eastAsia="宋体"/>
          <w:color w:val="000000"/>
          <w:sz w:val="24"/>
        </w:rPr>
        <w:t>版）。对于符合条件的毕业生，根据《福建农林大学学位授予实施细则》（</w:t>
      </w:r>
      <w:r>
        <w:rPr>
          <w:rFonts w:ascii="宋体" w:hAnsi="宋体" w:eastAsia="宋体"/>
          <w:color w:val="000000"/>
          <w:sz w:val="24"/>
        </w:rPr>
        <w:t>2017</w:t>
      </w:r>
      <w:r>
        <w:rPr>
          <w:rFonts w:hint="eastAsia" w:ascii="宋体" w:hAnsi="宋体" w:eastAsia="宋体"/>
          <w:color w:val="000000"/>
          <w:sz w:val="24"/>
        </w:rPr>
        <w:t>修订版）授予学位。</w:t>
      </w:r>
    </w:p>
    <w:p>
      <w:pPr>
        <w:pStyle w:val="16"/>
        <w:spacing w:line="500" w:lineRule="atLeast"/>
        <w:ind w:firstLine="640"/>
        <w:rPr>
          <w:rFonts w:ascii="仿宋" w:hAnsi="仿宋" w:eastAsia="仿宋" w:cs="仿宋"/>
          <w:sz w:val="32"/>
          <w:szCs w:val="32"/>
        </w:rPr>
      </w:pPr>
      <w:r>
        <w:rPr>
          <w:rFonts w:hint="eastAsia" w:ascii="仿宋" w:hAnsi="仿宋" w:eastAsia="仿宋" w:cs="仿宋"/>
          <w:sz w:val="32"/>
          <w:szCs w:val="32"/>
        </w:rPr>
        <w:t>3.教学档案管理制度建设</w:t>
      </w:r>
    </w:p>
    <w:p>
      <w:pPr>
        <w:spacing w:line="500" w:lineRule="atLeast"/>
        <w:ind w:firstLine="480" w:firstLineChars="200"/>
        <w:rPr>
          <w:rFonts w:ascii="宋体" w:hAnsi="宋体" w:eastAsia="宋体"/>
          <w:color w:val="000000"/>
          <w:sz w:val="24"/>
        </w:rPr>
      </w:pPr>
      <w:r>
        <w:rPr>
          <w:rFonts w:hint="eastAsia" w:ascii="宋体" w:hAnsi="宋体" w:eastAsia="宋体"/>
          <w:color w:val="000000"/>
          <w:sz w:val="24"/>
        </w:rPr>
        <w:t>制定严格的教学档案管理制度。《福建农林大学研究生课程教学管理办法》</w:t>
      </w:r>
      <w:r>
        <w:rPr>
          <w:rFonts w:ascii="宋体" w:hAnsi="宋体" w:eastAsia="宋体"/>
          <w:color w:val="000000"/>
          <w:sz w:val="24"/>
        </w:rPr>
        <w:t>(2016</w:t>
      </w:r>
      <w:r>
        <w:rPr>
          <w:rFonts w:hint="eastAsia" w:ascii="宋体" w:hAnsi="宋体" w:eastAsia="宋体"/>
          <w:color w:val="000000"/>
          <w:sz w:val="24"/>
        </w:rPr>
        <w:t>版</w:t>
      </w:r>
      <w:r>
        <w:rPr>
          <w:rFonts w:ascii="宋体" w:hAnsi="宋体" w:eastAsia="宋体"/>
          <w:color w:val="000000"/>
          <w:sz w:val="24"/>
        </w:rPr>
        <w:t>)</w:t>
      </w:r>
      <w:r>
        <w:rPr>
          <w:rFonts w:hint="eastAsia" w:ascii="宋体" w:hAnsi="宋体" w:eastAsia="宋体"/>
          <w:color w:val="000000"/>
          <w:sz w:val="24"/>
        </w:rPr>
        <w:t>规定任课教师在考试结束后必须</w:t>
      </w:r>
      <w:bookmarkStart w:id="14" w:name="_GoBack"/>
      <w:bookmarkEnd w:id="14"/>
      <w:r>
        <w:rPr>
          <w:rFonts w:hint="eastAsia" w:ascii="宋体" w:hAnsi="宋体" w:eastAsia="宋体"/>
          <w:color w:val="000000"/>
          <w:sz w:val="24"/>
        </w:rPr>
        <w:t>将研究生考试试卷或课程论文及成绩登记表提交给学院，由学院安排专人整理归档，并保存至研究生毕业后三年。</w:t>
      </w:r>
    </w:p>
    <w:p>
      <w:pPr>
        <w:pStyle w:val="16"/>
        <w:spacing w:line="500" w:lineRule="atLeast"/>
        <w:ind w:firstLine="640"/>
        <w:rPr>
          <w:rFonts w:ascii="仿宋" w:hAnsi="仿宋" w:eastAsia="仿宋" w:cs="仿宋"/>
          <w:sz w:val="32"/>
          <w:szCs w:val="32"/>
        </w:rPr>
      </w:pPr>
      <w:r>
        <w:rPr>
          <w:rFonts w:hint="eastAsia" w:ascii="仿宋" w:hAnsi="仿宋" w:eastAsia="仿宋" w:cs="仿宋"/>
          <w:sz w:val="32"/>
          <w:szCs w:val="32"/>
        </w:rPr>
        <w:t>4.师德师风管理制度建设</w:t>
      </w:r>
    </w:p>
    <w:p>
      <w:pPr>
        <w:spacing w:line="500" w:lineRule="atLeast"/>
        <w:ind w:firstLine="425"/>
        <w:rPr>
          <w:rFonts w:ascii="宋体" w:hAnsi="宋体" w:eastAsia="宋体"/>
          <w:sz w:val="24"/>
        </w:rPr>
      </w:pPr>
      <w:r>
        <w:rPr>
          <w:rFonts w:hint="eastAsia" w:ascii="宋体" w:hAnsi="宋体" w:eastAsia="宋体"/>
          <w:sz w:val="24"/>
        </w:rPr>
        <w:t>加强师德师风教育，将师德师风纳入管理制度。把师德教育贯穿于教师职前培养和职后培训全过程；加强师德师风监察监督，体现奖优罚劣；建立教师个人信用记录，着力解决师德失范、学术不端等问题。严格考核评价，落实师德师风第一标准。全面落实研究生导师立德树人职责，将导师立德树人职责履行情况作为导师招生资格认定、导师团队评选、教师年度考核、职称（职务）评聘、岗位聘用、评优评先、绩效分配等工作的重要依据之一。评价结果不合格的导师实行“一票否决”。</w:t>
      </w:r>
    </w:p>
    <w:p>
      <w:pPr>
        <w:pStyle w:val="16"/>
        <w:spacing w:line="500" w:lineRule="atLeast"/>
        <w:ind w:firstLine="640"/>
        <w:rPr>
          <w:rFonts w:ascii="仿宋" w:hAnsi="仿宋" w:eastAsia="仿宋" w:cs="仿宋"/>
          <w:sz w:val="32"/>
          <w:szCs w:val="32"/>
        </w:rPr>
      </w:pPr>
      <w:r>
        <w:rPr>
          <w:rFonts w:hint="eastAsia" w:ascii="仿宋" w:hAnsi="仿宋" w:eastAsia="仿宋" w:cs="仿宋"/>
          <w:sz w:val="32"/>
          <w:szCs w:val="32"/>
        </w:rPr>
        <w:t>5.学风管理制度建设</w:t>
      </w:r>
    </w:p>
    <w:p>
      <w:pPr>
        <w:spacing w:line="500" w:lineRule="atLeast"/>
        <w:ind w:firstLine="425"/>
        <w:rPr>
          <w:rFonts w:ascii="宋体" w:hAnsi="宋体" w:eastAsia="宋体"/>
          <w:sz w:val="24"/>
        </w:rPr>
      </w:pPr>
      <w:r>
        <w:rPr>
          <w:rFonts w:hint="eastAsia" w:ascii="宋体" w:hAnsi="宋体" w:eastAsia="宋体"/>
          <w:sz w:val="24"/>
        </w:rPr>
        <w:t>高度重视学风教育和学风制度建设，有比较完善的学风管理制度。成立了学风制度建设工作领导小组，制定了关于进一步加强和改进学风建设、考风建设的实施意见等一系列规章制度和多项激励政策。每年在新生报到教育周时间，安排有学术道德和学术不端行为管理制度讲解。</w:t>
      </w:r>
    </w:p>
    <w:p>
      <w:pPr>
        <w:spacing w:line="500" w:lineRule="atLeast"/>
        <w:rPr>
          <w:rFonts w:ascii="楷体" w:hAnsi="楷体" w:eastAsia="楷体" w:cs="楷体"/>
          <w:sz w:val="32"/>
          <w:szCs w:val="32"/>
        </w:rPr>
      </w:pPr>
      <w:r>
        <w:rPr>
          <w:rFonts w:hint="eastAsia" w:ascii="楷体" w:hAnsi="楷体" w:eastAsia="楷体" w:cs="楷体"/>
          <w:sz w:val="32"/>
          <w:szCs w:val="32"/>
        </w:rPr>
        <w:t>（二）立德树人</w:t>
      </w:r>
    </w:p>
    <w:p>
      <w:pPr>
        <w:spacing w:line="500" w:lineRule="atLeast"/>
        <w:ind w:firstLine="425"/>
        <w:jc w:val="left"/>
        <w:rPr>
          <w:rFonts w:ascii="宋体" w:hAnsi="宋体" w:eastAsia="宋体" w:cs="Times New Roman"/>
          <w:color w:val="000000"/>
          <w:sz w:val="24"/>
        </w:rPr>
      </w:pPr>
      <w:r>
        <w:rPr>
          <w:rFonts w:hint="eastAsia" w:ascii="宋体" w:hAnsi="宋体" w:eastAsia="宋体" w:cs="Times New Roman"/>
          <w:b/>
          <w:bCs/>
          <w:color w:val="000000"/>
          <w:sz w:val="24"/>
        </w:rPr>
        <w:t>引导导师全方位融入思想政治教育，在教育教学中提升师德素养。</w:t>
      </w:r>
      <w:r>
        <w:rPr>
          <w:rFonts w:hint="eastAsia" w:ascii="宋体" w:hAnsi="宋体" w:eastAsia="宋体" w:cs="Times New Roman"/>
          <w:color w:val="000000"/>
          <w:sz w:val="24"/>
        </w:rPr>
        <w:t>结合“课程思政”教育改革活动，要求导师以立德为根本、树人为核心。导师要模范遵守教师职业道德规范，为人师表，爱岗敬业，以高尚的道德情操和人格魅力感染、引导学生；谨遵学术规范，恪守学术道德，自觉维护公平正义和风清气正的学术环境；有仁爱之心，以德育人。</w:t>
      </w:r>
    </w:p>
    <w:p>
      <w:pPr>
        <w:spacing w:line="500" w:lineRule="atLeast"/>
        <w:ind w:firstLine="425"/>
        <w:jc w:val="left"/>
        <w:rPr>
          <w:rFonts w:ascii="宋体" w:hAnsi="宋体" w:eastAsia="宋体" w:cs="Times New Roman"/>
          <w:color w:val="000000"/>
          <w:sz w:val="24"/>
        </w:rPr>
      </w:pPr>
      <w:r>
        <w:rPr>
          <w:rFonts w:hint="eastAsia" w:ascii="宋体" w:hAnsi="宋体" w:eastAsia="宋体" w:cs="Times New Roman"/>
          <w:b/>
          <w:bCs/>
          <w:color w:val="000000"/>
          <w:sz w:val="24"/>
        </w:rPr>
        <w:t>把立德树人内化到研究生教育全过程，坚持将科学道德和学风教育融入研究生培养各环节。</w:t>
      </w:r>
      <w:r>
        <w:rPr>
          <w:rFonts w:hint="eastAsia" w:ascii="宋体" w:hAnsi="宋体" w:eastAsia="宋体" w:cs="Times New Roman"/>
          <w:color w:val="000000"/>
          <w:sz w:val="24"/>
        </w:rPr>
        <w:t>把师德教育贯穿于教师职前培养和职后培训全过程；把师德师风作为教师评价的第一标准，实行一票否决；加强师德师风监察监督，体现奖优罚劣；建立教师个人信用记录，着力解决师德失范、学术不端等问题。严格考核评价，落实师德师风第一标准。对教师所开设的研究生课程的教学内容、教学方法、教学效果、教学秩序以及教师立德树人等方面进行督导评价，并做到督导评价的课程、人员全覆盖。</w:t>
      </w:r>
    </w:p>
    <w:p>
      <w:pPr>
        <w:spacing w:line="500" w:lineRule="atLeast"/>
        <w:ind w:firstLine="425"/>
        <w:jc w:val="left"/>
        <w:rPr>
          <w:rFonts w:ascii="宋体" w:hAnsi="宋体" w:eastAsia="宋体"/>
          <w:b/>
          <w:bCs/>
          <w:sz w:val="24"/>
        </w:rPr>
      </w:pPr>
      <w:r>
        <w:rPr>
          <w:rFonts w:hint="eastAsia" w:ascii="宋体" w:hAnsi="宋体" w:eastAsia="宋体" w:cs="Times New Roman"/>
          <w:b/>
          <w:bCs/>
          <w:color w:val="000000"/>
          <w:sz w:val="24"/>
        </w:rPr>
        <w:t>全面落实研究生导师立德树人职责</w:t>
      </w:r>
      <w:r>
        <w:rPr>
          <w:rFonts w:hint="eastAsia" w:ascii="宋体" w:hAnsi="宋体" w:eastAsia="宋体" w:cs="Times New Roman"/>
          <w:color w:val="000000"/>
          <w:sz w:val="24"/>
        </w:rPr>
        <w:t>，将导师立德树人职责履行情况作为导师招生资格认定、导师团队评选、教师年度考核、职称（职务）评聘、岗位聘用、评优评先、绩效分配等工作的重要依据之一。评价结果不合格的导师实行“一票否决”。</w:t>
      </w:r>
    </w:p>
    <w:p>
      <w:pPr>
        <w:spacing w:line="500" w:lineRule="atLeast"/>
        <w:ind w:firstLine="425"/>
        <w:rPr>
          <w:rFonts w:ascii="宋体" w:hAnsi="宋体" w:eastAsia="宋体"/>
          <w:sz w:val="24"/>
        </w:rPr>
      </w:pPr>
      <w:r>
        <w:rPr>
          <w:rFonts w:hint="eastAsia" w:ascii="宋体" w:hAnsi="宋体" w:eastAsia="宋体"/>
          <w:b/>
          <w:bCs/>
          <w:sz w:val="24"/>
        </w:rPr>
        <w:t>研究生导师在研究生思政教育中卓有成效，获多项荣誉。</w:t>
      </w:r>
      <w:r>
        <w:rPr>
          <w:rFonts w:hint="eastAsia" w:ascii="宋体" w:hAnsi="宋体" w:eastAsia="宋体"/>
          <w:sz w:val="24"/>
        </w:rPr>
        <w:t>郑海荣教学案例2020年入选福建农林大学“思政课程”与“课程思政”优秀教学案例。庄佩芬2020年荣获学校“优秀教师”和学院“师德先进个人”荣誉称号。</w:t>
      </w:r>
    </w:p>
    <w:p>
      <w:pPr>
        <w:spacing w:line="500" w:lineRule="atLeast"/>
        <w:rPr>
          <w:rFonts w:ascii="楷体" w:hAnsi="楷体" w:eastAsia="楷体" w:cs="楷体"/>
          <w:sz w:val="32"/>
          <w:szCs w:val="32"/>
        </w:rPr>
      </w:pPr>
      <w:r>
        <w:rPr>
          <w:rFonts w:hint="eastAsia" w:ascii="楷体" w:hAnsi="楷体" w:eastAsia="楷体" w:cs="楷体"/>
          <w:sz w:val="32"/>
          <w:szCs w:val="32"/>
        </w:rPr>
        <w:t>（三）科教和产教融合</w:t>
      </w:r>
    </w:p>
    <w:p>
      <w:pPr>
        <w:spacing w:line="500" w:lineRule="atLeast"/>
        <w:ind w:firstLine="480" w:firstLineChars="200"/>
        <w:jc w:val="left"/>
        <w:rPr>
          <w:rFonts w:ascii="宋体" w:hAnsi="宋体" w:eastAsia="宋体"/>
        </w:rPr>
      </w:pPr>
      <w:r>
        <w:rPr>
          <w:rFonts w:hint="eastAsia" w:ascii="宋体" w:hAnsi="宋体" w:eastAsia="宋体"/>
          <w:sz w:val="24"/>
        </w:rPr>
        <w:t>本学科重视科教融合，以南太平洋岛国研究中心、福建普惠金融研究院、海峡乡村振兴研究院和茶产业研究中心四大平台为核心，通过举办论坛、闭门研讨会、业务交流、设立开放基金等多种形式，汇聚国内外南太平洋岛国、普惠金融、海上丝绸之路等领域研究专家和业界人士智慧，形成专家库和思想库，并积极培养后备人才，努力在相关领域打造成结构合理、业务精良的研究团队和人才培养基地。</w:t>
      </w:r>
    </w:p>
    <w:p>
      <w:pPr>
        <w:spacing w:line="500" w:lineRule="atLeast"/>
        <w:ind w:firstLine="480" w:firstLineChars="200"/>
        <w:jc w:val="left"/>
        <w:rPr>
          <w:rFonts w:ascii="宋体" w:hAnsi="宋体" w:eastAsia="宋体"/>
          <w:sz w:val="24"/>
        </w:rPr>
      </w:pPr>
      <w:r>
        <w:rPr>
          <w:rFonts w:hint="eastAsia" w:ascii="宋体" w:hAnsi="宋体" w:eastAsia="宋体"/>
          <w:sz w:val="24"/>
        </w:rPr>
        <w:t>第一，根据农信系统人才需求情况，由福建农林大学和省农信联社共同研究制定个性化人才培养方案和教学计划，共建实践教学基地，联合培养本科、硕士层次的应用型金融人才；第二，加大教育培训力度。通过举办短训班、研讨班、不定期讲座等形式，面向金融机构在职员工、县及以下基层干部等开展专题培训；第三，聘任有深厚学术造诣和影响力的政府官员、省农信社高管作为特聘教授、客座教授、兼职教授、硕士生导师、博士生导师等，共同参与人才的培养。第四，开设《农村金融与普惠金融专题》等特色课程，邀请农村金融专家与涉农金融机构高管等共同授课。</w:t>
      </w:r>
    </w:p>
    <w:p>
      <w:pPr>
        <w:spacing w:line="500" w:lineRule="atLeast"/>
        <w:rPr>
          <w:rFonts w:ascii="楷体" w:hAnsi="楷体" w:eastAsia="楷体" w:cs="楷体"/>
          <w:sz w:val="32"/>
          <w:szCs w:val="32"/>
        </w:rPr>
      </w:pPr>
      <w:r>
        <w:rPr>
          <w:rFonts w:hint="eastAsia" w:ascii="楷体" w:hAnsi="楷体" w:eastAsia="楷体" w:cs="楷体"/>
          <w:sz w:val="32"/>
          <w:szCs w:val="32"/>
        </w:rPr>
        <w:t>（四）文化建设</w:t>
      </w:r>
    </w:p>
    <w:p>
      <w:pPr>
        <w:spacing w:line="500" w:lineRule="atLeast"/>
        <w:ind w:firstLine="482"/>
        <w:rPr>
          <w:rFonts w:ascii="宋体" w:hAnsi="宋体" w:eastAsia="宋体" w:cs="宋体"/>
          <w:sz w:val="24"/>
        </w:rPr>
      </w:pPr>
      <w:r>
        <w:rPr>
          <w:rFonts w:hint="eastAsia" w:ascii="宋体" w:hAnsi="宋体" w:eastAsia="宋体" w:cs="宋体"/>
          <w:sz w:val="24"/>
        </w:rPr>
        <w:t>以社会主义核心价值观引领校园文化建设。始终坚持解放思想，与时俱进，不断创新思想建设内容，从思想理论、道德情感、意志质量上不断加强全体师生对社会主义核心价值观的认同感，增强师生的民族自尊心、自信心和责任感。积极探索新形势下党建引领文化发展的特点和规律，创新形式、内容、手段，增强文化育人工作的针对性、实效性和吸引力、感染力。</w:t>
      </w:r>
    </w:p>
    <w:p>
      <w:pPr>
        <w:spacing w:line="500" w:lineRule="atLeast"/>
        <w:ind w:firstLine="482"/>
        <w:rPr>
          <w:rFonts w:ascii="宋体" w:hAnsi="宋体" w:eastAsia="宋体" w:cs="宋体"/>
          <w:sz w:val="24"/>
        </w:rPr>
      </w:pPr>
      <w:r>
        <w:rPr>
          <w:rFonts w:hint="eastAsia" w:ascii="宋体" w:hAnsi="宋体" w:eastAsia="宋体" w:cs="宋体"/>
          <w:sz w:val="24"/>
        </w:rPr>
        <w:t>以扎实推进“两学一做”学习教育常态化制度化促进良好校园风气的形成。必须加强自身纪律与作风建设，以“三严三实”为标尺，不断加强高校民主建设、师德师风建设和校风学风建设。培育并营造热爱集体、关心他人、尊敬师长、勤奋好学、团结互助、遵纪守法的良好校园风气。</w:t>
      </w:r>
    </w:p>
    <w:p>
      <w:pPr>
        <w:spacing w:line="500" w:lineRule="atLeast"/>
        <w:rPr>
          <w:rFonts w:ascii="楷体" w:hAnsi="楷体" w:eastAsia="楷体" w:cs="楷体"/>
          <w:sz w:val="32"/>
          <w:szCs w:val="32"/>
        </w:rPr>
      </w:pPr>
      <w:r>
        <w:rPr>
          <w:rFonts w:hint="eastAsia" w:ascii="楷体" w:hAnsi="楷体" w:eastAsia="楷体" w:cs="楷体"/>
          <w:sz w:val="32"/>
          <w:szCs w:val="32"/>
        </w:rPr>
        <w:t>（五）质量保障体系建设</w:t>
      </w:r>
    </w:p>
    <w:p>
      <w:pPr>
        <w:pStyle w:val="16"/>
        <w:spacing w:line="500" w:lineRule="atLeast"/>
        <w:ind w:firstLine="640"/>
        <w:rPr>
          <w:rFonts w:ascii="仿宋" w:hAnsi="仿宋" w:eastAsia="仿宋" w:cs="仿宋"/>
          <w:sz w:val="32"/>
          <w:szCs w:val="32"/>
        </w:rPr>
      </w:pPr>
      <w:r>
        <w:rPr>
          <w:rFonts w:hint="eastAsia" w:ascii="仿宋" w:hAnsi="仿宋" w:eastAsia="仿宋" w:cs="仿宋"/>
          <w:sz w:val="32"/>
          <w:szCs w:val="32"/>
        </w:rPr>
        <w:t>1.强化落实学位授予单位质量保证主体责任</w:t>
      </w:r>
    </w:p>
    <w:p>
      <w:pPr>
        <w:spacing w:line="500" w:lineRule="atLeast"/>
        <w:ind w:firstLine="425"/>
        <w:rPr>
          <w:rFonts w:ascii="宋体" w:hAnsi="宋体" w:eastAsia="宋体" w:cs="宋体"/>
          <w:sz w:val="24"/>
        </w:rPr>
      </w:pPr>
      <w:r>
        <w:rPr>
          <w:rFonts w:hint="eastAsia" w:ascii="宋体" w:hAnsi="宋体" w:eastAsia="宋体" w:cs="宋体"/>
          <w:sz w:val="24"/>
        </w:rPr>
        <w:t>硕士研究生培养实行导师负责制或以导师为主的指导小组负责制。导师（组）负责指导制订和调整硕士生个人的学习计划，并协助组织开题报告，指导研究生的科学研究活动和学位论文的写作等。鼓励有条件的交叉学科、共建学科组织导师组进行集体指导，加强跨学科、复合型人才的培养。导师（组）根据研究生不同特点，制定个人培养计划，培养不同类型人才。培养计划经系（教研室）具体审定，学院负责人批准后执行。</w:t>
      </w:r>
    </w:p>
    <w:p>
      <w:pPr>
        <w:pStyle w:val="16"/>
        <w:spacing w:line="500" w:lineRule="atLeast"/>
        <w:ind w:firstLine="640"/>
        <w:rPr>
          <w:rFonts w:ascii="仿宋" w:hAnsi="仿宋" w:eastAsia="仿宋" w:cs="仿宋"/>
          <w:sz w:val="32"/>
          <w:szCs w:val="32"/>
        </w:rPr>
      </w:pPr>
      <w:r>
        <w:rPr>
          <w:rFonts w:hint="eastAsia" w:ascii="仿宋" w:hAnsi="仿宋" w:eastAsia="仿宋" w:cs="仿宋"/>
          <w:sz w:val="32"/>
          <w:szCs w:val="32"/>
        </w:rPr>
        <w:t>2.严格规范研究生考试招生工作</w:t>
      </w:r>
    </w:p>
    <w:p>
      <w:pPr>
        <w:spacing w:line="500" w:lineRule="atLeast"/>
        <w:ind w:firstLine="425"/>
        <w:rPr>
          <w:rFonts w:ascii="宋体" w:hAnsi="宋体" w:eastAsia="宋体" w:cs="宋体"/>
          <w:sz w:val="24"/>
        </w:rPr>
      </w:pPr>
      <w:r>
        <w:rPr>
          <w:rFonts w:hint="eastAsia" w:ascii="宋体" w:hAnsi="宋体" w:eastAsia="宋体" w:cs="宋体"/>
          <w:sz w:val="24"/>
        </w:rPr>
        <w:t>（1）选拔途径：本学位点学生生源主要来自全国硕士生入学统一考试和硕士生推免。</w:t>
      </w:r>
    </w:p>
    <w:p>
      <w:pPr>
        <w:spacing w:line="500" w:lineRule="atLeast"/>
        <w:ind w:firstLine="425"/>
        <w:rPr>
          <w:rFonts w:ascii="宋体" w:hAnsi="宋体" w:eastAsia="宋体" w:cs="宋体"/>
          <w:sz w:val="24"/>
        </w:rPr>
      </w:pPr>
      <w:r>
        <w:rPr>
          <w:rFonts w:hint="eastAsia" w:ascii="宋体" w:hAnsi="宋体" w:eastAsia="宋体" w:cs="宋体"/>
          <w:sz w:val="24"/>
        </w:rPr>
        <w:t>（2）复试组织和管理：学生复试严格按照学校《招收攻读硕士学位研究生复试录取办法》，制定详细复试实施细则进行复试。</w:t>
      </w:r>
    </w:p>
    <w:p>
      <w:pPr>
        <w:spacing w:line="500" w:lineRule="atLeast"/>
        <w:ind w:firstLine="425"/>
        <w:rPr>
          <w:rFonts w:ascii="宋体" w:hAnsi="宋体" w:eastAsia="宋体" w:cs="宋体"/>
          <w:sz w:val="24"/>
        </w:rPr>
      </w:pPr>
      <w:r>
        <w:rPr>
          <w:rFonts w:hint="eastAsia" w:ascii="宋体" w:hAnsi="宋体" w:eastAsia="宋体" w:cs="宋体"/>
          <w:sz w:val="24"/>
        </w:rPr>
        <w:t>（3）复试考核主要内容：包括专业素质能力、综合素质能力、身体素质能力考核。</w:t>
      </w:r>
    </w:p>
    <w:p>
      <w:pPr>
        <w:pStyle w:val="16"/>
        <w:spacing w:line="500" w:lineRule="atLeast"/>
        <w:ind w:firstLine="640"/>
        <w:rPr>
          <w:rFonts w:ascii="仿宋" w:hAnsi="仿宋" w:eastAsia="仿宋" w:cs="仿宋"/>
          <w:sz w:val="32"/>
          <w:szCs w:val="32"/>
        </w:rPr>
      </w:pPr>
      <w:r>
        <w:rPr>
          <w:rFonts w:hint="eastAsia" w:ascii="仿宋" w:hAnsi="仿宋" w:eastAsia="仿宋" w:cs="仿宋"/>
          <w:sz w:val="32"/>
          <w:szCs w:val="32"/>
        </w:rPr>
        <w:t>3.严抓培养全过程监控与质量保证</w:t>
      </w:r>
    </w:p>
    <w:p>
      <w:pPr>
        <w:spacing w:line="500" w:lineRule="atLeast"/>
        <w:ind w:firstLine="425"/>
        <w:rPr>
          <w:rFonts w:ascii="宋体" w:hAnsi="宋体" w:eastAsia="宋体" w:cs="宋体"/>
          <w:sz w:val="24"/>
        </w:rPr>
      </w:pPr>
      <w:r>
        <w:rPr>
          <w:rFonts w:hint="eastAsia" w:ascii="宋体" w:hAnsi="宋体" w:eastAsia="宋体" w:cs="宋体"/>
          <w:b/>
          <w:bCs/>
          <w:sz w:val="24"/>
        </w:rPr>
        <w:t>（1）高度重视学风教育和学风制度建设，有比较完善的学风管理制度。</w:t>
      </w:r>
      <w:r>
        <w:rPr>
          <w:rFonts w:hint="eastAsia" w:ascii="宋体" w:hAnsi="宋体" w:eastAsia="宋体" w:cs="宋体"/>
          <w:sz w:val="24"/>
        </w:rPr>
        <w:t>成立了学风制度建设工作领导小组，制定了关于进一步加强和改进学风建设、考风建设的实施意见等一系列规章制度和多项激励政策。每年在新生报到教育周时间，安排有学术道德和学术不端行为管理制度讲解。每年由学院或院研究生会组织德高望重的教授不定期举办学术道德和学术不端行为知识的专题讲座。</w:t>
      </w:r>
    </w:p>
    <w:p>
      <w:pPr>
        <w:spacing w:line="500" w:lineRule="atLeast"/>
        <w:ind w:firstLine="425"/>
        <w:rPr>
          <w:rFonts w:ascii="宋体" w:hAnsi="宋体" w:eastAsia="宋体" w:cs="宋体"/>
          <w:sz w:val="24"/>
        </w:rPr>
      </w:pPr>
      <w:r>
        <w:rPr>
          <w:rFonts w:hint="eastAsia" w:ascii="宋体" w:hAnsi="宋体" w:eastAsia="宋体" w:cs="宋体"/>
          <w:b/>
          <w:bCs/>
          <w:sz w:val="24"/>
        </w:rPr>
        <w:t>（2）参加学术活动</w:t>
      </w:r>
      <w:r>
        <w:rPr>
          <w:rFonts w:hint="eastAsia" w:ascii="宋体" w:hAnsi="宋体" w:eastAsia="宋体" w:cs="宋体"/>
          <w:sz w:val="24"/>
        </w:rPr>
        <w:t>是提高研究生学术视野和科研能力重要方式，学术活动包括做学术报告和听学术报告。具体要求按《福建农林大学研究生参加学术活动管理规定》执行。</w:t>
      </w:r>
    </w:p>
    <w:p>
      <w:pPr>
        <w:spacing w:line="500" w:lineRule="atLeast"/>
        <w:ind w:firstLine="425"/>
        <w:rPr>
          <w:rFonts w:ascii="宋体" w:hAnsi="宋体" w:eastAsia="宋体" w:cs="宋体"/>
          <w:sz w:val="24"/>
        </w:rPr>
      </w:pPr>
      <w:r>
        <w:rPr>
          <w:rFonts w:hint="eastAsia" w:ascii="宋体" w:hAnsi="宋体" w:eastAsia="宋体" w:cs="宋体"/>
          <w:b/>
          <w:bCs/>
          <w:sz w:val="24"/>
        </w:rPr>
        <w:t>（3）实践环节</w:t>
      </w:r>
      <w:r>
        <w:rPr>
          <w:rFonts w:hint="eastAsia" w:ascii="宋体" w:hAnsi="宋体" w:eastAsia="宋体" w:cs="宋体"/>
          <w:sz w:val="24"/>
        </w:rPr>
        <w:t>是培养研究生实际工作能力的重要环节。本专业的硕士研究生在校学习期间，必须按照要求完成科研实践、教学实践、社会实践和管理实践等实践环节的教学和研究工作。具体要求如下：</w:t>
      </w:r>
    </w:p>
    <w:p>
      <w:pPr>
        <w:spacing w:line="500" w:lineRule="atLeast"/>
        <w:ind w:firstLine="425"/>
        <w:rPr>
          <w:rFonts w:ascii="宋体" w:hAnsi="宋体" w:eastAsia="宋体" w:cs="宋体"/>
          <w:sz w:val="24"/>
        </w:rPr>
      </w:pPr>
      <w:r>
        <w:rPr>
          <w:rFonts w:hint="eastAsia" w:ascii="宋体" w:hAnsi="宋体" w:eastAsia="宋体" w:cs="宋体"/>
          <w:sz w:val="24"/>
        </w:rPr>
        <w:t>科研实践：研究生参加导师或指导小组教师科研项目申报、项目实施等。</w:t>
      </w:r>
    </w:p>
    <w:p>
      <w:pPr>
        <w:spacing w:line="500" w:lineRule="atLeast"/>
        <w:ind w:firstLine="425"/>
        <w:rPr>
          <w:rFonts w:ascii="宋体" w:hAnsi="宋体" w:eastAsia="宋体" w:cs="宋体"/>
          <w:sz w:val="24"/>
        </w:rPr>
      </w:pPr>
      <w:r>
        <w:rPr>
          <w:rFonts w:hint="eastAsia" w:ascii="宋体" w:hAnsi="宋体" w:eastAsia="宋体" w:cs="宋体"/>
          <w:sz w:val="24"/>
        </w:rPr>
        <w:t>教学实践：教学实践一般应聘为助教，协助指导教师或本学科专业任课教师的本科生教学、实验，指导本科生毕业论文（设计）等。</w:t>
      </w:r>
    </w:p>
    <w:p>
      <w:pPr>
        <w:spacing w:line="500" w:lineRule="atLeast"/>
        <w:ind w:firstLine="425"/>
        <w:rPr>
          <w:rFonts w:ascii="宋体" w:hAnsi="宋体" w:eastAsia="宋体" w:cs="宋体"/>
          <w:sz w:val="24"/>
        </w:rPr>
      </w:pPr>
      <w:r>
        <w:rPr>
          <w:rFonts w:hint="eastAsia" w:ascii="宋体" w:hAnsi="宋体" w:eastAsia="宋体" w:cs="宋体"/>
          <w:sz w:val="24"/>
        </w:rPr>
        <w:t>管理实践：管理实践一般聘为助管，担任校内管理部门工作助手。</w:t>
      </w:r>
    </w:p>
    <w:p>
      <w:pPr>
        <w:spacing w:line="500" w:lineRule="atLeast"/>
        <w:ind w:firstLine="425"/>
        <w:rPr>
          <w:rFonts w:ascii="宋体" w:hAnsi="宋体" w:eastAsia="宋体" w:cs="宋体"/>
          <w:sz w:val="24"/>
        </w:rPr>
      </w:pPr>
      <w:r>
        <w:rPr>
          <w:rFonts w:hint="eastAsia" w:ascii="宋体" w:hAnsi="宋体" w:eastAsia="宋体" w:cs="宋体"/>
          <w:sz w:val="24"/>
        </w:rPr>
        <w:t>社会实践：社会实践一般为志愿服务、课题调查研究等。</w:t>
      </w:r>
    </w:p>
    <w:p>
      <w:pPr>
        <w:pStyle w:val="16"/>
        <w:spacing w:line="500" w:lineRule="atLeast"/>
        <w:ind w:firstLine="640"/>
        <w:rPr>
          <w:rFonts w:ascii="仿宋" w:hAnsi="仿宋" w:eastAsia="仿宋" w:cs="仿宋"/>
          <w:sz w:val="32"/>
          <w:szCs w:val="32"/>
        </w:rPr>
      </w:pPr>
      <w:r>
        <w:rPr>
          <w:rFonts w:hint="eastAsia" w:ascii="仿宋" w:hAnsi="仿宋" w:eastAsia="仿宋" w:cs="仿宋"/>
          <w:sz w:val="32"/>
          <w:szCs w:val="32"/>
        </w:rPr>
        <w:t>4.加强学位论文管理</w:t>
      </w:r>
    </w:p>
    <w:p>
      <w:pPr>
        <w:spacing w:line="500" w:lineRule="atLeast"/>
        <w:ind w:firstLine="425"/>
        <w:rPr>
          <w:rFonts w:ascii="宋体" w:hAnsi="宋体" w:eastAsia="宋体" w:cs="宋体"/>
          <w:sz w:val="24"/>
        </w:rPr>
      </w:pPr>
      <w:r>
        <w:rPr>
          <w:rFonts w:hint="eastAsia" w:ascii="宋体" w:hAnsi="宋体" w:eastAsia="宋体" w:cs="宋体"/>
          <w:b/>
          <w:bCs/>
          <w:sz w:val="24"/>
        </w:rPr>
        <w:t>（1）论文选题、设计及规范</w:t>
      </w:r>
      <w:r>
        <w:rPr>
          <w:rFonts w:hint="eastAsia" w:ascii="宋体" w:hAnsi="宋体" w:eastAsia="宋体" w:cs="宋体"/>
          <w:sz w:val="24"/>
        </w:rPr>
        <w:t>：本学科学位论文选题总体上能够与所学专业和研究方向相对应，紧密结合国民经济和社会发展需要，反映国际经济与贸易、金融及区域及发展领域一些亟待解决的理论与现实问题，并体现农林类院校关注“三农”领域的特色。论文设计总体上有科学性，基本能够恰当的使用应用经济学学科相关的理论分析方法与工具。论文规范性上，论文写作总体符合学术论文写作规范。</w:t>
      </w:r>
    </w:p>
    <w:p>
      <w:pPr>
        <w:spacing w:line="500" w:lineRule="atLeast"/>
        <w:ind w:firstLine="425"/>
        <w:rPr>
          <w:rFonts w:ascii="宋体" w:hAnsi="宋体" w:eastAsia="宋体" w:cs="宋体"/>
          <w:sz w:val="24"/>
        </w:rPr>
      </w:pPr>
      <w:r>
        <w:rPr>
          <w:rFonts w:hint="eastAsia" w:ascii="宋体" w:hAnsi="宋体" w:eastAsia="宋体" w:cs="宋体"/>
          <w:b/>
          <w:bCs/>
          <w:sz w:val="24"/>
        </w:rPr>
        <w:t>（2）论文评审制度及抽检</w:t>
      </w:r>
      <w:r>
        <w:rPr>
          <w:rFonts w:hint="eastAsia" w:ascii="宋体" w:hAnsi="宋体" w:eastAsia="宋体" w:cs="宋体"/>
          <w:sz w:val="24"/>
        </w:rPr>
        <w:t>：近五年论文百分百试行盲审，且2016年开始，实行百分百省外专家盲审。总体上本学位点的学位论文基本符合应用经济学硕士学位论文的质量要求，近三年省学位办对学位点的论文抽查结果均合格。</w:t>
      </w:r>
      <w:bookmarkEnd w:id="12"/>
      <w:bookmarkEnd w:id="13"/>
    </w:p>
    <w:p>
      <w:pPr>
        <w:pStyle w:val="2"/>
        <w:spacing w:before="0" w:after="0" w:line="500" w:lineRule="atLeast"/>
        <w:rPr>
          <w:rFonts w:ascii="黑体" w:hAnsi="黑体" w:eastAsia="黑体" w:cs="黑体"/>
          <w:b w:val="0"/>
          <w:bCs w:val="0"/>
        </w:rPr>
      </w:pPr>
      <w:r>
        <w:rPr>
          <w:rFonts w:hint="eastAsia" w:ascii="黑体" w:hAnsi="黑体" w:eastAsia="黑体" w:cs="黑体"/>
          <w:b w:val="0"/>
          <w:bCs w:val="0"/>
        </w:rPr>
        <w:t>三、学位点建设存在的问题</w:t>
      </w:r>
    </w:p>
    <w:p>
      <w:pPr>
        <w:spacing w:line="500" w:lineRule="atLeast"/>
        <w:rPr>
          <w:rFonts w:ascii="楷体" w:hAnsi="楷体" w:eastAsia="楷体" w:cs="楷体"/>
          <w:sz w:val="32"/>
          <w:szCs w:val="32"/>
        </w:rPr>
      </w:pPr>
      <w:r>
        <w:rPr>
          <w:rFonts w:hint="eastAsia" w:ascii="楷体" w:hAnsi="楷体" w:eastAsia="楷体" w:cs="楷体"/>
          <w:sz w:val="32"/>
          <w:szCs w:val="32"/>
        </w:rPr>
        <w:t>（一）产教融合有待深入</w:t>
      </w:r>
    </w:p>
    <w:p>
      <w:pPr>
        <w:spacing w:line="500" w:lineRule="atLeast"/>
        <w:ind w:firstLine="425"/>
        <w:jc w:val="left"/>
        <w:rPr>
          <w:rFonts w:ascii="宋体" w:hAnsi="宋体" w:eastAsia="宋体"/>
          <w:sz w:val="24"/>
        </w:rPr>
      </w:pPr>
      <w:r>
        <w:rPr>
          <w:rFonts w:hint="eastAsia" w:ascii="宋体" w:hAnsi="宋体" w:eastAsia="宋体"/>
          <w:sz w:val="24"/>
        </w:rPr>
        <w:t>本学科点拥有福建省农村信用合作联社、福州农商银行、泉州农商银行、宁德市屏南县扶贫、东兴证券股份有限公司、幸福人寿保险股份有限公司、华夏银行股份有限公司福州分行办等多个稳定的校企合作平台和实践平台，但合作不够深入，合作方式比较局限。学生实践活动蜻蜓点水，不能将理论和实践有效结合，部分学生为实践而实践，未能以实践中遇到的问题作为切入点，加深理论理解或探究。</w:t>
      </w:r>
    </w:p>
    <w:p>
      <w:pPr>
        <w:spacing w:line="500" w:lineRule="atLeast"/>
        <w:rPr>
          <w:rFonts w:ascii="楷体" w:hAnsi="楷体" w:eastAsia="楷体" w:cs="楷体"/>
          <w:sz w:val="32"/>
          <w:szCs w:val="32"/>
        </w:rPr>
      </w:pPr>
      <w:r>
        <w:rPr>
          <w:rFonts w:hint="eastAsia" w:ascii="楷体" w:hAnsi="楷体" w:eastAsia="楷体" w:cs="楷体"/>
          <w:sz w:val="32"/>
          <w:szCs w:val="32"/>
        </w:rPr>
        <w:t>（二）教学方法有待改进</w:t>
      </w:r>
    </w:p>
    <w:p>
      <w:pPr>
        <w:spacing w:line="500" w:lineRule="atLeast"/>
        <w:ind w:firstLine="425"/>
        <w:jc w:val="left"/>
        <w:rPr>
          <w:rFonts w:ascii="宋体" w:hAnsi="宋体" w:eastAsia="宋体"/>
          <w:color w:val="000000"/>
          <w:sz w:val="24"/>
        </w:rPr>
      </w:pPr>
      <w:r>
        <w:rPr>
          <w:rFonts w:hint="eastAsia" w:ascii="宋体" w:hAnsi="宋体" w:eastAsia="宋体"/>
          <w:color w:val="000000"/>
          <w:sz w:val="24"/>
        </w:rPr>
        <w:t>在案例教学方面，目前主要以已有案例作为教学素材，自编案例较少。在模拟教学方面，目前主要以邀请业界专家进校开展讲授专业实践知识为主，模拟教学模式相对单一。在学生实践方面，目前主要以校外专业实践为主，校内创智金融大数据实训平台以及相关金融实验数据和软件利用不足。</w:t>
      </w:r>
    </w:p>
    <w:p>
      <w:pPr>
        <w:spacing w:line="500" w:lineRule="atLeast"/>
        <w:rPr>
          <w:rFonts w:ascii="楷体" w:hAnsi="楷体" w:eastAsia="楷体" w:cs="楷体"/>
          <w:sz w:val="32"/>
          <w:szCs w:val="32"/>
        </w:rPr>
      </w:pPr>
      <w:r>
        <w:rPr>
          <w:rFonts w:hint="eastAsia" w:ascii="楷体" w:hAnsi="楷体" w:eastAsia="楷体" w:cs="楷体"/>
          <w:sz w:val="32"/>
          <w:szCs w:val="32"/>
        </w:rPr>
        <w:t>（三）师资结构有待优化</w:t>
      </w:r>
    </w:p>
    <w:p>
      <w:pPr>
        <w:spacing w:line="500" w:lineRule="atLeast"/>
        <w:ind w:firstLine="425"/>
        <w:rPr>
          <w:rFonts w:ascii="宋体" w:hAnsi="宋体" w:eastAsia="宋体"/>
          <w:sz w:val="24"/>
        </w:rPr>
      </w:pPr>
      <w:r>
        <w:rPr>
          <w:rFonts w:hint="eastAsia" w:ascii="宋体" w:hAnsi="宋体" w:eastAsia="宋体"/>
          <w:sz w:val="24"/>
        </w:rPr>
        <w:t>师资队伍方面，骨干教师、导师队伍比较齐整尚存三方面不足:一是人才队伍结构不均衡，“老中”年龄层次人数多，青年人才储备不足，呈现出“老龄化”特征;二是个别学科师资力量不足;三是教师中有海外留学、访学经历的人数偏少，不利于学科的国际化建设，也不利于学生的海外交流。</w:t>
      </w:r>
    </w:p>
    <w:p>
      <w:pPr>
        <w:pStyle w:val="2"/>
        <w:spacing w:before="0" w:after="0" w:line="500" w:lineRule="atLeast"/>
        <w:rPr>
          <w:rFonts w:ascii="黑体" w:hAnsi="黑体" w:eastAsia="黑体" w:cs="黑体"/>
          <w:b w:val="0"/>
          <w:bCs w:val="0"/>
        </w:rPr>
      </w:pPr>
      <w:r>
        <w:rPr>
          <w:rFonts w:hint="eastAsia" w:ascii="黑体" w:hAnsi="黑体" w:eastAsia="黑体" w:cs="黑体"/>
          <w:b w:val="0"/>
          <w:bCs w:val="0"/>
        </w:rPr>
        <w:t>四、下一年度建设计划</w:t>
      </w:r>
    </w:p>
    <w:p>
      <w:pPr>
        <w:spacing w:line="500" w:lineRule="atLeast"/>
        <w:rPr>
          <w:rFonts w:ascii="楷体" w:hAnsi="楷体" w:eastAsia="楷体" w:cs="楷体"/>
          <w:sz w:val="32"/>
          <w:szCs w:val="32"/>
        </w:rPr>
      </w:pPr>
      <w:r>
        <w:rPr>
          <w:rFonts w:hint="eastAsia" w:ascii="楷体" w:hAnsi="楷体" w:eastAsia="楷体" w:cs="楷体"/>
          <w:sz w:val="32"/>
          <w:szCs w:val="32"/>
        </w:rPr>
        <w:t>（一）深化产教融合</w:t>
      </w:r>
    </w:p>
    <w:p>
      <w:pPr>
        <w:spacing w:line="500" w:lineRule="atLeast"/>
        <w:ind w:firstLine="425"/>
        <w:jc w:val="left"/>
        <w:rPr>
          <w:rFonts w:ascii="宋体" w:hAnsi="宋体" w:eastAsia="宋体"/>
          <w:sz w:val="24"/>
        </w:rPr>
      </w:pPr>
      <w:r>
        <w:rPr>
          <w:rFonts w:hint="eastAsia" w:ascii="宋体" w:hAnsi="宋体" w:eastAsia="宋体"/>
          <w:sz w:val="24"/>
        </w:rPr>
        <w:t>第一，继续拓展高质量的校企合作平台和实践平台，为科研、教学、实践提供良好支撑。第二，拓宽校企合作模式，学生实践形式。本学科可以利用理论优势，为企业经营提供支撑，解决企业的痛点、痒点，增加盈利点。学生实践可以采用项目制、学徒制等形式，加深实践内容，真正起到锻炼学生、提高学生培养质量的作用。</w:t>
      </w:r>
    </w:p>
    <w:p>
      <w:pPr>
        <w:spacing w:line="500" w:lineRule="atLeast"/>
        <w:rPr>
          <w:rFonts w:ascii="楷体" w:hAnsi="楷体" w:eastAsia="楷体" w:cs="楷体"/>
          <w:sz w:val="32"/>
          <w:szCs w:val="32"/>
        </w:rPr>
      </w:pPr>
      <w:r>
        <w:rPr>
          <w:rFonts w:hint="eastAsia" w:ascii="楷体" w:hAnsi="楷体" w:eastAsia="楷体" w:cs="楷体"/>
          <w:sz w:val="32"/>
          <w:szCs w:val="32"/>
        </w:rPr>
        <w:t>（二）改进教学方法</w:t>
      </w:r>
    </w:p>
    <w:p>
      <w:pPr>
        <w:spacing w:line="500" w:lineRule="atLeast"/>
        <w:ind w:firstLine="425"/>
        <w:jc w:val="left"/>
        <w:rPr>
          <w:rFonts w:ascii="宋体" w:hAnsi="宋体" w:eastAsia="宋体"/>
          <w:color w:val="000000"/>
          <w:sz w:val="24"/>
        </w:rPr>
      </w:pPr>
      <w:r>
        <w:rPr>
          <w:rFonts w:hint="eastAsia" w:ascii="宋体" w:hAnsi="宋体" w:eastAsia="宋体"/>
          <w:color w:val="000000"/>
          <w:sz w:val="24"/>
        </w:rPr>
        <w:t>在案例教学方面，由学科负责人组织相关老师收集典型案例，提取关键内容，与课本结合，自编案例。在模拟教学方面，引进案例分析、模拟炒股等方式，丰富模拟教学形式。在学生实践方面，提高校内创智金融大数据实训平台以及相关金融实验数据和软件的利用。</w:t>
      </w:r>
    </w:p>
    <w:p>
      <w:pPr>
        <w:spacing w:line="500" w:lineRule="atLeast"/>
        <w:rPr>
          <w:rFonts w:ascii="楷体" w:hAnsi="楷体" w:eastAsia="楷体" w:cs="楷体"/>
          <w:sz w:val="32"/>
          <w:szCs w:val="32"/>
        </w:rPr>
      </w:pPr>
      <w:r>
        <w:rPr>
          <w:rFonts w:hint="eastAsia" w:ascii="楷体" w:hAnsi="楷体" w:eastAsia="楷体" w:cs="楷体"/>
          <w:sz w:val="32"/>
          <w:szCs w:val="32"/>
        </w:rPr>
        <w:t>（三）优化师资队伍</w:t>
      </w:r>
    </w:p>
    <w:p>
      <w:pPr>
        <w:spacing w:line="500" w:lineRule="atLeast"/>
        <w:ind w:firstLine="425"/>
        <w:rPr>
          <w:rFonts w:ascii="宋体" w:hAnsi="宋体" w:eastAsia="宋体"/>
          <w:color w:val="000000"/>
          <w:sz w:val="24"/>
        </w:rPr>
      </w:pPr>
      <w:r>
        <w:rPr>
          <w:rFonts w:hint="eastAsia" w:ascii="宋体" w:hAnsi="宋体" w:eastAsia="宋体"/>
          <w:color w:val="000000"/>
          <w:sz w:val="24"/>
        </w:rPr>
        <w:t>优化师资队伍，加大后备人才的引进力度，尤其是优秀青年后备人才的引进，优化教师队伍结构；人才引进和建设向师资力量薄弱学科倾斜，大力推动此类学科补齐短板，实现快速发展;大力推动教师出国出境留学、访学学术交流，拓展国际视野，加强国际交流，提升学科的国际影响力。</w:t>
      </w:r>
    </w:p>
    <w:sectPr>
      <w:type w:val="continuous"/>
      <w:pgSz w:w="11910" w:h="16840"/>
      <w:pgMar w:top="1440" w:right="1800" w:bottom="1440" w:left="1800" w:header="0" w:footer="531"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0000000000000000000"/>
    <w:charset w:val="86"/>
    <w:family w:val="auto"/>
    <w:pitch w:val="default"/>
    <w:sig w:usb0="00000000" w:usb1="00000000" w:usb2="00000016" w:usb3="00000000" w:csb0="0004000F" w:csb1="00000000"/>
  </w:font>
  <w:font w:name="等线 Light">
    <w:altName w:val="Arial Unicode MS"/>
    <w:panose1 w:val="00000000000000000000"/>
    <w:charset w:val="86"/>
    <w:family w:val="auto"/>
    <w:pitch w:val="default"/>
    <w:sig w:usb0="00000000" w:usb1="00000000" w:usb2="00000016" w:usb3="00000000" w:csb0="0004000F" w:csb1="00000000"/>
  </w:font>
  <w:font w:name="方正仿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Times">
    <w:altName w:val="Times New Roman"/>
    <w:panose1 w:val="02020603050405020304"/>
    <w:charset w:val="00"/>
    <w:family w:val="auto"/>
    <w:pitch w:val="default"/>
    <w:sig w:usb0="00000000" w:usb1="00000000" w:usb2="00000000" w:usb3="00000000" w:csb0="0000019F"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等线 Light">
    <w:altName w:val="AMGDT"/>
    <w:panose1 w:val="00000000000000000000"/>
    <w:charset w:val="00"/>
    <w:family w:val="auto"/>
    <w:pitch w:val="default"/>
    <w:sig w:usb0="00000000" w:usb1="00000000" w:usb2="00000000" w:usb3="00000000" w:csb0="00000000" w:csb1="00000000"/>
  </w:font>
  <w:font w:name="AMGDT">
    <w:panose1 w:val="02000400000000000000"/>
    <w:charset w:val="00"/>
    <w:family w:val="auto"/>
    <w:pitch w:val="default"/>
    <w:sig w:usb0="80000003" w:usb1="1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904511A"/>
    <w:multiLevelType w:val="multilevel"/>
    <w:tmpl w:val="7904511A"/>
    <w:lvl w:ilvl="0" w:tentative="0">
      <w:start w:val="1"/>
      <w:numFmt w:val="japaneseCounting"/>
      <w:pStyle w:val="14"/>
      <w:lvlText w:val="（%1）"/>
      <w:lvlJc w:val="left"/>
      <w:pPr>
        <w:ind w:left="1750" w:hanging="108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bordersDoNotSurroundHeader w:val="1"/>
  <w:bordersDoNotSurroundFooter w:val="1"/>
  <w:documentProtection w:enforcement="0"/>
  <w:defaultTabStop w:val="42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U1OWQ3NjQ3MzVlZTFkZDMxODdhNWM1YWE2YmY1ODgifQ=="/>
  </w:docVars>
  <w:rsids>
    <w:rsidRoot w:val="00B36D91"/>
    <w:rsid w:val="00001184"/>
    <w:rsid w:val="00111C74"/>
    <w:rsid w:val="00126728"/>
    <w:rsid w:val="0013401A"/>
    <w:rsid w:val="00160F1E"/>
    <w:rsid w:val="00172A08"/>
    <w:rsid w:val="001858E6"/>
    <w:rsid w:val="001C0552"/>
    <w:rsid w:val="001F69CE"/>
    <w:rsid w:val="00234EB0"/>
    <w:rsid w:val="0024048D"/>
    <w:rsid w:val="00241348"/>
    <w:rsid w:val="00264A8C"/>
    <w:rsid w:val="002815E0"/>
    <w:rsid w:val="002B5AB3"/>
    <w:rsid w:val="002C2D0D"/>
    <w:rsid w:val="002F62D0"/>
    <w:rsid w:val="003279F5"/>
    <w:rsid w:val="0036538C"/>
    <w:rsid w:val="003D7812"/>
    <w:rsid w:val="003E7B61"/>
    <w:rsid w:val="003F767D"/>
    <w:rsid w:val="004341A7"/>
    <w:rsid w:val="00482DB4"/>
    <w:rsid w:val="00490493"/>
    <w:rsid w:val="00494E23"/>
    <w:rsid w:val="0052104E"/>
    <w:rsid w:val="00536657"/>
    <w:rsid w:val="005B7735"/>
    <w:rsid w:val="005E7C1A"/>
    <w:rsid w:val="005F0246"/>
    <w:rsid w:val="005F6A3B"/>
    <w:rsid w:val="005F6DB2"/>
    <w:rsid w:val="006422FB"/>
    <w:rsid w:val="006A6046"/>
    <w:rsid w:val="006D0193"/>
    <w:rsid w:val="00733233"/>
    <w:rsid w:val="007440B0"/>
    <w:rsid w:val="00750952"/>
    <w:rsid w:val="00754C09"/>
    <w:rsid w:val="00760C4D"/>
    <w:rsid w:val="00777904"/>
    <w:rsid w:val="00777C2B"/>
    <w:rsid w:val="00787B99"/>
    <w:rsid w:val="007B0F41"/>
    <w:rsid w:val="007D3086"/>
    <w:rsid w:val="007D7314"/>
    <w:rsid w:val="007E7F9F"/>
    <w:rsid w:val="00803B6B"/>
    <w:rsid w:val="00860CDE"/>
    <w:rsid w:val="008A5429"/>
    <w:rsid w:val="00920EB0"/>
    <w:rsid w:val="00924C1B"/>
    <w:rsid w:val="009D1B27"/>
    <w:rsid w:val="00A0509E"/>
    <w:rsid w:val="00A3007A"/>
    <w:rsid w:val="00A40CDF"/>
    <w:rsid w:val="00A47C06"/>
    <w:rsid w:val="00A511BD"/>
    <w:rsid w:val="00AC2581"/>
    <w:rsid w:val="00AC3ABC"/>
    <w:rsid w:val="00AE1AF1"/>
    <w:rsid w:val="00B04EDA"/>
    <w:rsid w:val="00B21705"/>
    <w:rsid w:val="00B2375A"/>
    <w:rsid w:val="00B36D91"/>
    <w:rsid w:val="00B741FC"/>
    <w:rsid w:val="00BB4669"/>
    <w:rsid w:val="00BD2493"/>
    <w:rsid w:val="00BE2668"/>
    <w:rsid w:val="00C1009A"/>
    <w:rsid w:val="00C1427D"/>
    <w:rsid w:val="00C16D05"/>
    <w:rsid w:val="00C50A47"/>
    <w:rsid w:val="00CA3217"/>
    <w:rsid w:val="00CC4EE3"/>
    <w:rsid w:val="00CD5A64"/>
    <w:rsid w:val="00D43727"/>
    <w:rsid w:val="00DE5A9D"/>
    <w:rsid w:val="00DF4BBF"/>
    <w:rsid w:val="00E3371F"/>
    <w:rsid w:val="00E511F9"/>
    <w:rsid w:val="00E64EEC"/>
    <w:rsid w:val="00E75BB5"/>
    <w:rsid w:val="00E85F1B"/>
    <w:rsid w:val="00EC406B"/>
    <w:rsid w:val="00F642ED"/>
    <w:rsid w:val="00F83EF4"/>
    <w:rsid w:val="00F84AC5"/>
    <w:rsid w:val="00F8510D"/>
    <w:rsid w:val="00FC3190"/>
    <w:rsid w:val="00FF1EFB"/>
    <w:rsid w:val="076C6DAE"/>
    <w:rsid w:val="07B9351A"/>
    <w:rsid w:val="0FCE1438"/>
    <w:rsid w:val="2E692241"/>
    <w:rsid w:val="326C33CF"/>
    <w:rsid w:val="383513E6"/>
    <w:rsid w:val="5C2C3FA1"/>
    <w:rsid w:val="5F145FE8"/>
    <w:rsid w:val="632B667B"/>
    <w:rsid w:val="6C8F0513"/>
    <w:rsid w:val="6E8C1D75"/>
    <w:rsid w:val="6F615B16"/>
    <w:rsid w:val="78365079"/>
    <w:rsid w:val="797B68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link w:val="21"/>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4">
    <w:name w:val="heading 2"/>
    <w:basedOn w:val="1"/>
    <w:next w:val="1"/>
    <w:link w:val="22"/>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2">
    <w:name w:val="heading 3"/>
    <w:basedOn w:val="1"/>
    <w:next w:val="1"/>
    <w:link w:val="17"/>
    <w:unhideWhenUsed/>
    <w:qFormat/>
    <w:uiPriority w:val="0"/>
    <w:pPr>
      <w:keepNext/>
      <w:keepLines/>
      <w:spacing w:before="260" w:after="260" w:line="416" w:lineRule="auto"/>
      <w:outlineLvl w:val="2"/>
    </w:pPr>
    <w:rPr>
      <w:b/>
      <w:bCs/>
      <w:sz w:val="32"/>
      <w:szCs w:val="32"/>
    </w:rPr>
  </w:style>
  <w:style w:type="character" w:default="1" w:styleId="12">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5">
    <w:name w:val="annotation text"/>
    <w:basedOn w:val="1"/>
    <w:link w:val="29"/>
    <w:semiHidden/>
    <w:unhideWhenUsed/>
    <w:qFormat/>
    <w:uiPriority w:val="99"/>
    <w:pPr>
      <w:jc w:val="left"/>
    </w:pPr>
  </w:style>
  <w:style w:type="paragraph" w:styleId="6">
    <w:name w:val="footer"/>
    <w:basedOn w:val="1"/>
    <w:link w:val="24"/>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7">
    <w:name w:val="header"/>
    <w:basedOn w:val="1"/>
    <w:link w:val="23"/>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8">
    <w:name w:val="Normal (Web)"/>
    <w:basedOn w:val="1"/>
    <w:qFormat/>
    <w:uiPriority w:val="99"/>
    <w:pPr>
      <w:widowControl/>
      <w:spacing w:before="100" w:beforeAutospacing="1" w:after="100" w:afterAutospacing="1"/>
      <w:jc w:val="left"/>
    </w:pPr>
    <w:rPr>
      <w:rFonts w:ascii="宋体" w:hAnsi="宋体" w:eastAsia="宋体" w:cs="宋体"/>
      <w:kern w:val="0"/>
      <w:sz w:val="24"/>
    </w:rPr>
  </w:style>
  <w:style w:type="paragraph" w:styleId="9">
    <w:name w:val="annotation subject"/>
    <w:basedOn w:val="5"/>
    <w:next w:val="5"/>
    <w:link w:val="30"/>
    <w:semiHidden/>
    <w:unhideWhenUsed/>
    <w:uiPriority w:val="99"/>
    <w:rPr>
      <w:b/>
      <w:bCs/>
    </w:rPr>
  </w:style>
  <w:style w:type="table" w:styleId="11">
    <w:name w:val="Table Grid"/>
    <w:basedOn w:val="10"/>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annotation reference"/>
    <w:basedOn w:val="12"/>
    <w:semiHidden/>
    <w:unhideWhenUsed/>
    <w:qFormat/>
    <w:uiPriority w:val="99"/>
    <w:rPr>
      <w:sz w:val="21"/>
      <w:szCs w:val="21"/>
    </w:rPr>
  </w:style>
  <w:style w:type="paragraph" w:customStyle="1" w:styleId="14">
    <w:name w:val="节标题"/>
    <w:basedOn w:val="1"/>
    <w:qFormat/>
    <w:uiPriority w:val="0"/>
    <w:pPr>
      <w:numPr>
        <w:ilvl w:val="0"/>
        <w:numId w:val="1"/>
      </w:numPr>
      <w:adjustRightInd w:val="0"/>
      <w:spacing w:line="300" w:lineRule="auto"/>
      <w:ind w:left="0" w:firstLine="200" w:firstLineChars="200"/>
      <w:textAlignment w:val="baseline"/>
    </w:pPr>
    <w:rPr>
      <w:rFonts w:ascii="Times New Roman" w:hAnsi="Times New Roman" w:eastAsia="方正仿宋简体" w:cs="Times New Roman"/>
      <w:color w:val="000000"/>
      <w:kern w:val="0"/>
      <w:sz w:val="30"/>
      <w:szCs w:val="30"/>
    </w:rPr>
  </w:style>
  <w:style w:type="paragraph" w:customStyle="1" w:styleId="15">
    <w:name w:val="正文更改"/>
    <w:basedOn w:val="1"/>
    <w:link w:val="26"/>
    <w:qFormat/>
    <w:uiPriority w:val="0"/>
    <w:pPr>
      <w:adjustRightInd w:val="0"/>
      <w:spacing w:line="300" w:lineRule="auto"/>
      <w:ind w:firstLine="560" w:firstLineChars="200"/>
      <w:textAlignment w:val="baseline"/>
    </w:pPr>
    <w:rPr>
      <w:rFonts w:ascii="Times New Roman" w:hAnsi="Times New Roman" w:eastAsia="宋体" w:cs="Times New Roman"/>
      <w:color w:val="000000"/>
      <w:kern w:val="0"/>
      <w:sz w:val="28"/>
      <w:szCs w:val="30"/>
    </w:rPr>
  </w:style>
  <w:style w:type="paragraph" w:customStyle="1" w:styleId="16">
    <w:name w:val="小节标题"/>
    <w:basedOn w:val="1"/>
    <w:link w:val="25"/>
    <w:qFormat/>
    <w:uiPriority w:val="0"/>
    <w:pPr>
      <w:adjustRightInd w:val="0"/>
      <w:spacing w:line="300" w:lineRule="auto"/>
      <w:ind w:firstLine="200" w:firstLineChars="200"/>
      <w:textAlignment w:val="baseline"/>
    </w:pPr>
    <w:rPr>
      <w:rFonts w:ascii="Times New Roman" w:hAnsi="Times New Roman" w:eastAsia="方正仿宋简体" w:cs="Times New Roman"/>
      <w:color w:val="000000"/>
      <w:kern w:val="0"/>
      <w:sz w:val="30"/>
      <w:szCs w:val="30"/>
    </w:rPr>
  </w:style>
  <w:style w:type="character" w:customStyle="1" w:styleId="17">
    <w:name w:val="标题 3 Char"/>
    <w:basedOn w:val="12"/>
    <w:link w:val="2"/>
    <w:qFormat/>
    <w:uiPriority w:val="0"/>
    <w:rPr>
      <w:b/>
      <w:bCs/>
      <w:sz w:val="32"/>
      <w:szCs w:val="32"/>
    </w:rPr>
  </w:style>
  <w:style w:type="paragraph" w:customStyle="1" w:styleId="18">
    <w:name w:val="Table Paragraph"/>
    <w:basedOn w:val="1"/>
    <w:qFormat/>
    <w:uiPriority w:val="1"/>
  </w:style>
  <w:style w:type="character" w:customStyle="1" w:styleId="19">
    <w:name w:val="font21"/>
    <w:basedOn w:val="12"/>
    <w:qFormat/>
    <w:uiPriority w:val="0"/>
    <w:rPr>
      <w:rFonts w:hint="default" w:ascii="仿宋_GB2312" w:eastAsia="仿宋_GB2312" w:cs="仿宋_GB2312"/>
      <w:b/>
      <w:bCs/>
      <w:color w:val="000000"/>
      <w:sz w:val="21"/>
      <w:szCs w:val="21"/>
      <w:u w:val="none"/>
    </w:rPr>
  </w:style>
  <w:style w:type="character" w:customStyle="1" w:styleId="20">
    <w:name w:val="font31"/>
    <w:basedOn w:val="12"/>
    <w:qFormat/>
    <w:uiPriority w:val="0"/>
    <w:rPr>
      <w:rFonts w:hint="eastAsia" w:ascii="仿宋" w:hAnsi="仿宋" w:eastAsia="仿宋" w:cs="仿宋"/>
      <w:color w:val="000000"/>
      <w:sz w:val="24"/>
      <w:szCs w:val="24"/>
      <w:u w:val="none"/>
    </w:rPr>
  </w:style>
  <w:style w:type="character" w:customStyle="1" w:styleId="21">
    <w:name w:val="标题 1 Char"/>
    <w:basedOn w:val="12"/>
    <w:link w:val="3"/>
    <w:uiPriority w:val="0"/>
    <w:rPr>
      <w:rFonts w:ascii="Times New Roman" w:hAnsi="Times New Roman" w:eastAsia="宋体" w:cs="Times New Roman"/>
      <w:b/>
      <w:bCs/>
      <w:kern w:val="44"/>
      <w:sz w:val="44"/>
      <w:szCs w:val="44"/>
    </w:rPr>
  </w:style>
  <w:style w:type="character" w:customStyle="1" w:styleId="22">
    <w:name w:val="标题 2 Char"/>
    <w:basedOn w:val="12"/>
    <w:link w:val="4"/>
    <w:semiHidden/>
    <w:qFormat/>
    <w:uiPriority w:val="0"/>
    <w:rPr>
      <w:rFonts w:asciiTheme="majorHAnsi" w:hAnsiTheme="majorHAnsi" w:eastAsiaTheme="majorEastAsia" w:cstheme="majorBidi"/>
      <w:b/>
      <w:bCs/>
      <w:sz w:val="32"/>
      <w:szCs w:val="32"/>
    </w:rPr>
  </w:style>
  <w:style w:type="character" w:customStyle="1" w:styleId="23">
    <w:name w:val="页眉 Char"/>
    <w:basedOn w:val="12"/>
    <w:link w:val="7"/>
    <w:uiPriority w:val="0"/>
    <w:rPr>
      <w:rFonts w:ascii="Times New Roman" w:hAnsi="Times New Roman" w:eastAsia="宋体" w:cs="Times New Roman"/>
      <w:sz w:val="18"/>
      <w:szCs w:val="18"/>
    </w:rPr>
  </w:style>
  <w:style w:type="character" w:customStyle="1" w:styleId="24">
    <w:name w:val="页脚 Char"/>
    <w:basedOn w:val="12"/>
    <w:link w:val="6"/>
    <w:qFormat/>
    <w:uiPriority w:val="0"/>
    <w:rPr>
      <w:rFonts w:ascii="Times New Roman" w:hAnsi="Times New Roman" w:eastAsia="宋体" w:cs="Times New Roman"/>
      <w:sz w:val="18"/>
      <w:szCs w:val="18"/>
    </w:rPr>
  </w:style>
  <w:style w:type="character" w:customStyle="1" w:styleId="25">
    <w:name w:val="小节标题 Char"/>
    <w:link w:val="16"/>
    <w:qFormat/>
    <w:uiPriority w:val="0"/>
    <w:rPr>
      <w:rFonts w:ascii="Times New Roman" w:hAnsi="Times New Roman" w:eastAsia="方正仿宋简体" w:cs="Times New Roman"/>
      <w:color w:val="000000"/>
      <w:kern w:val="0"/>
      <w:sz w:val="30"/>
      <w:szCs w:val="30"/>
    </w:rPr>
  </w:style>
  <w:style w:type="character" w:customStyle="1" w:styleId="26">
    <w:name w:val="正文更改 Char"/>
    <w:link w:val="15"/>
    <w:qFormat/>
    <w:uiPriority w:val="0"/>
    <w:rPr>
      <w:rFonts w:ascii="Times New Roman" w:hAnsi="Times New Roman" w:eastAsia="宋体" w:cs="Times New Roman"/>
      <w:color w:val="000000"/>
      <w:kern w:val="0"/>
      <w:sz w:val="28"/>
      <w:szCs w:val="30"/>
    </w:rPr>
  </w:style>
  <w:style w:type="paragraph" w:styleId="27">
    <w:name w:val="List Paragraph"/>
    <w:basedOn w:val="1"/>
    <w:qFormat/>
    <w:uiPriority w:val="34"/>
    <w:pPr>
      <w:ind w:firstLine="420" w:firstLineChars="200"/>
    </w:pPr>
    <w:rPr>
      <w:rFonts w:ascii="Times New Roman" w:hAnsi="Times New Roman" w:eastAsia="宋体" w:cs="Times New Roman"/>
    </w:rPr>
  </w:style>
  <w:style w:type="paragraph" w:customStyle="1" w:styleId="28">
    <w:name w:val="列表段落1"/>
    <w:basedOn w:val="1"/>
    <w:qFormat/>
    <w:uiPriority w:val="99"/>
    <w:pPr>
      <w:widowControl/>
      <w:ind w:firstLine="420" w:firstLineChars="200"/>
      <w:jc w:val="left"/>
    </w:pPr>
    <w:rPr>
      <w:rFonts w:ascii="宋体" w:hAnsi="宋体" w:eastAsia="宋体" w:cs="宋体"/>
      <w:kern w:val="0"/>
      <w:sz w:val="24"/>
    </w:rPr>
  </w:style>
  <w:style w:type="character" w:customStyle="1" w:styleId="29">
    <w:name w:val="批注文字 Char"/>
    <w:basedOn w:val="12"/>
    <w:link w:val="5"/>
    <w:semiHidden/>
    <w:qFormat/>
    <w:uiPriority w:val="99"/>
  </w:style>
  <w:style w:type="character" w:customStyle="1" w:styleId="30">
    <w:name w:val="批注主题 Char"/>
    <w:basedOn w:val="29"/>
    <w:link w:val="9"/>
    <w:semiHidden/>
    <w:uiPriority w:val="99"/>
    <w:rPr>
      <w:b/>
      <w:bCs/>
    </w:rPr>
  </w:style>
  <w:style w:type="character" w:customStyle="1" w:styleId="31">
    <w:name w:val="font01"/>
    <w:basedOn w:val="12"/>
    <w:qFormat/>
    <w:uiPriority w:val="0"/>
    <w:rPr>
      <w:rFonts w:hint="default" w:ascii="方正仿宋简体" w:hAnsi="方正仿宋简体" w:eastAsia="方正仿宋简体" w:cs="方正仿宋简体"/>
      <w:color w:val="000000"/>
      <w:sz w:val="21"/>
      <w:szCs w:val="21"/>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27</Pages>
  <Words>15795</Words>
  <Characters>16567</Characters>
  <Lines>124</Lines>
  <Paragraphs>35</Paragraphs>
  <TotalTime>6</TotalTime>
  <ScaleCrop>false</ScaleCrop>
  <LinksUpToDate>false</LinksUpToDate>
  <CharactersWithSpaces>16596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2021-12-14T14:58:00Z</dcterms:created>
  <dc:creator>XIAOYAN LIN</dc:creator>
  <cp:lastModifiedBy>1</cp:lastModifiedBy>
  <dcterms:modified xsi:type="dcterms:W3CDTF">2023-09-24T07:02:17Z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651D1F471098408DB3E10854E09C086E_12</vt:lpwstr>
  </property>
</Properties>
</file>