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5F" w:rsidRDefault="0060305F">
      <w:pPr>
        <w:pStyle w:val="1"/>
        <w:rPr>
          <w:rFonts w:ascii="Times New Roman" w:hAnsi="Times New Roman"/>
        </w:rPr>
      </w:pPr>
    </w:p>
    <w:p w:rsidR="0060305F" w:rsidRDefault="0060305F">
      <w:pPr>
        <w:spacing w:line="274" w:lineRule="auto"/>
        <w:rPr>
          <w:rFonts w:ascii="Times New Roman" w:hAnsi="Times New Roman"/>
        </w:rPr>
      </w:pPr>
    </w:p>
    <w:p w:rsidR="0060305F" w:rsidRDefault="0060305F">
      <w:pPr>
        <w:pStyle w:val="a0"/>
      </w:pPr>
    </w:p>
    <w:p w:rsidR="0060305F" w:rsidRDefault="00EB63B3">
      <w:pPr>
        <w:jc w:val="center"/>
        <w:outlineLvl w:val="0"/>
        <w:rPr>
          <w:rFonts w:ascii="黑体" w:eastAsia="黑体" w:hAnsi="黑体" w:cs="黑体"/>
          <w:b/>
          <w:bCs/>
          <w:sz w:val="52"/>
          <w:szCs w:val="72"/>
        </w:rPr>
      </w:pPr>
      <w:bookmarkStart w:id="0" w:name="_Toc32495"/>
      <w:bookmarkStart w:id="1" w:name="_Toc102656633"/>
      <w:r>
        <w:rPr>
          <w:rFonts w:ascii="黑体" w:eastAsia="黑体" w:hAnsi="黑体" w:cs="黑体" w:hint="eastAsia"/>
          <w:b/>
          <w:bCs/>
          <w:sz w:val="52"/>
          <w:szCs w:val="72"/>
        </w:rPr>
        <w:t>学位授权点建设年度报告</w:t>
      </w:r>
      <w:bookmarkEnd w:id="0"/>
      <w:bookmarkEnd w:id="1"/>
    </w:p>
    <w:p w:rsidR="0060305F" w:rsidRDefault="00EB63B3">
      <w:pPr>
        <w:jc w:val="center"/>
        <w:outlineLvl w:val="0"/>
        <w:rPr>
          <w:rFonts w:ascii="楷体" w:eastAsia="楷体" w:hAnsi="楷体" w:cs="楷体"/>
          <w:sz w:val="28"/>
          <w:szCs w:val="36"/>
        </w:rPr>
      </w:pPr>
      <w:bookmarkStart w:id="2" w:name="_Toc102656634"/>
      <w:bookmarkStart w:id="3" w:name="_Toc22733"/>
      <w:r>
        <w:rPr>
          <w:rFonts w:ascii="楷体" w:eastAsia="楷体" w:hAnsi="楷体" w:cs="楷体" w:hint="eastAsia"/>
          <w:sz w:val="28"/>
          <w:szCs w:val="36"/>
        </w:rPr>
        <w:t>（2021年）</w:t>
      </w:r>
      <w:bookmarkEnd w:id="2"/>
      <w:bookmarkEnd w:id="3"/>
    </w:p>
    <w:p w:rsidR="0060305F" w:rsidRDefault="0060305F">
      <w:pPr>
        <w:spacing w:line="256" w:lineRule="auto"/>
        <w:rPr>
          <w:rFonts w:ascii="Times New Roman" w:hAnsi="Times New Roman"/>
        </w:rPr>
      </w:pPr>
    </w:p>
    <w:p w:rsidR="0060305F" w:rsidRDefault="0060305F">
      <w:pPr>
        <w:spacing w:line="256" w:lineRule="auto"/>
        <w:rPr>
          <w:rFonts w:ascii="Times New Roman" w:hAnsi="Times New Roman"/>
        </w:rPr>
      </w:pPr>
    </w:p>
    <w:p w:rsidR="0060305F" w:rsidRDefault="0060305F">
      <w:pPr>
        <w:spacing w:line="256" w:lineRule="auto"/>
        <w:rPr>
          <w:rFonts w:ascii="Times New Roman" w:hAnsi="Times New Roman"/>
        </w:rPr>
      </w:pPr>
    </w:p>
    <w:p w:rsidR="0060305F" w:rsidRDefault="0060305F">
      <w:pPr>
        <w:spacing w:line="256" w:lineRule="auto"/>
        <w:rPr>
          <w:rFonts w:ascii="Times New Roman" w:hAnsi="Times New Roman"/>
        </w:rPr>
      </w:pPr>
    </w:p>
    <w:p w:rsidR="0060305F" w:rsidRDefault="0060305F">
      <w:pPr>
        <w:spacing w:line="257" w:lineRule="auto"/>
        <w:rPr>
          <w:rFonts w:ascii="Times New Roman" w:hAnsi="Times New Roman"/>
        </w:rPr>
      </w:pPr>
    </w:p>
    <w:p w:rsidR="0060305F" w:rsidRDefault="0060305F">
      <w:pPr>
        <w:pStyle w:val="a0"/>
      </w:pPr>
    </w:p>
    <w:p w:rsidR="0060305F" w:rsidRDefault="00EB63B3">
      <w:pPr>
        <w:spacing w:line="257" w:lineRule="auto"/>
      </w:pPr>
      <w:r>
        <w:rPr>
          <w:rFonts w:ascii="Times New Roman" w:hAnsi="Times New Roman"/>
          <w:noProof/>
        </w:rPr>
        <w:drawing>
          <wp:anchor distT="0" distB="0" distL="0" distR="0" simplePos="0" relativeHeight="251660288" behindDoc="0" locked="0" layoutInCell="1" allowOverlap="1">
            <wp:simplePos x="0" y="0"/>
            <wp:positionH relativeFrom="column">
              <wp:posOffset>2401570</wp:posOffset>
            </wp:positionH>
            <wp:positionV relativeFrom="paragraph">
              <wp:posOffset>160655</wp:posOffset>
            </wp:positionV>
            <wp:extent cx="6350" cy="1081405"/>
            <wp:effectExtent l="0" t="0" r="12700" b="444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6350" cy="1081278"/>
                    </a:xfrm>
                    <a:prstGeom prst="rect">
                      <a:avLst/>
                    </a:prstGeom>
                  </pic:spPr>
                </pic:pic>
              </a:graphicData>
            </a:graphic>
          </wp:anchor>
        </w:drawing>
      </w:r>
    </w:p>
    <w:p w:rsidR="0060305F" w:rsidRDefault="0060305F">
      <w:pPr>
        <w:spacing w:line="500" w:lineRule="exact"/>
        <w:jc w:val="both"/>
        <w:rPr>
          <w:rFonts w:ascii="方正小标宋简体" w:eastAsia="方正小标宋简体" w:hAnsi="宋体"/>
          <w:b/>
          <w:color w:val="000000" w:themeColor="text1"/>
          <w:sz w:val="44"/>
          <w:szCs w:val="44"/>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60305F">
        <w:tc>
          <w:tcPr>
            <w:tcW w:w="2160" w:type="dxa"/>
            <w:vMerge w:val="restart"/>
            <w:vAlign w:val="center"/>
          </w:tcPr>
          <w:p w:rsidR="0060305F" w:rsidRDefault="00EB63B3">
            <w:pPr>
              <w:spacing w:line="500" w:lineRule="exact"/>
              <w:jc w:val="distribute"/>
              <w:rPr>
                <w:rFonts w:eastAsia="楷体_GB2312"/>
                <w:b/>
                <w:color w:val="000000" w:themeColor="text1"/>
                <w:sz w:val="30"/>
                <w:szCs w:val="30"/>
              </w:rPr>
            </w:pPr>
            <w:r>
              <w:rPr>
                <w:rFonts w:eastAsia="楷体_GB2312" w:hint="eastAsia"/>
                <w:b/>
                <w:color w:val="000000" w:themeColor="text1"/>
                <w:sz w:val="30"/>
                <w:szCs w:val="30"/>
              </w:rPr>
              <w:t>学位授予单位</w:t>
            </w:r>
          </w:p>
        </w:tc>
        <w:tc>
          <w:tcPr>
            <w:tcW w:w="2880" w:type="dxa"/>
            <w:tcBorders>
              <w:bottom w:val="single" w:sz="4" w:space="0" w:color="auto"/>
            </w:tcBorders>
            <w:vAlign w:val="center"/>
          </w:tcPr>
          <w:p w:rsidR="0060305F" w:rsidRDefault="00EB63B3">
            <w:pPr>
              <w:spacing w:line="500" w:lineRule="exact"/>
              <w:rPr>
                <w:rFonts w:eastAsia="楷体_GB2312"/>
                <w:b/>
                <w:color w:val="000000" w:themeColor="text1"/>
                <w:sz w:val="30"/>
                <w:szCs w:val="30"/>
              </w:rPr>
            </w:pPr>
            <w:r>
              <w:rPr>
                <w:rFonts w:eastAsia="楷体_GB2312"/>
                <w:b/>
                <w:color w:val="000000" w:themeColor="text1"/>
                <w:sz w:val="30"/>
                <w:szCs w:val="30"/>
              </w:rPr>
              <w:t>名称：</w:t>
            </w:r>
            <w:r>
              <w:rPr>
                <w:rFonts w:eastAsia="楷体_GB2312" w:hint="eastAsia"/>
                <w:b/>
                <w:color w:val="000000" w:themeColor="text1"/>
                <w:sz w:val="30"/>
                <w:szCs w:val="30"/>
              </w:rPr>
              <w:t>福建农林大学</w:t>
            </w:r>
          </w:p>
        </w:tc>
      </w:tr>
      <w:tr w:rsidR="0060305F">
        <w:tc>
          <w:tcPr>
            <w:tcW w:w="2160" w:type="dxa"/>
            <w:vMerge/>
          </w:tcPr>
          <w:p w:rsidR="0060305F" w:rsidRDefault="0060305F">
            <w:pPr>
              <w:spacing w:line="500" w:lineRule="exact"/>
              <w:jc w:val="center"/>
              <w:rPr>
                <w:rFonts w:eastAsia="楷体_GB2312"/>
                <w:b/>
                <w:color w:val="000000" w:themeColor="text1"/>
                <w:sz w:val="30"/>
                <w:szCs w:val="30"/>
              </w:rPr>
            </w:pPr>
          </w:p>
        </w:tc>
        <w:tc>
          <w:tcPr>
            <w:tcW w:w="2880" w:type="dxa"/>
            <w:tcBorders>
              <w:top w:val="single" w:sz="4" w:space="0" w:color="auto"/>
            </w:tcBorders>
            <w:vAlign w:val="center"/>
          </w:tcPr>
          <w:p w:rsidR="0060305F" w:rsidRDefault="00EB63B3">
            <w:pPr>
              <w:spacing w:line="500" w:lineRule="exact"/>
              <w:rPr>
                <w:rFonts w:eastAsia="楷体_GB2312"/>
                <w:b/>
                <w:color w:val="000000" w:themeColor="text1"/>
                <w:sz w:val="30"/>
                <w:szCs w:val="30"/>
              </w:rPr>
            </w:pPr>
            <w:r>
              <w:rPr>
                <w:rFonts w:eastAsia="楷体_GB2312"/>
                <w:b/>
                <w:color w:val="000000" w:themeColor="text1"/>
                <w:sz w:val="30"/>
                <w:szCs w:val="30"/>
              </w:rPr>
              <w:t>代码：</w:t>
            </w:r>
            <w:r>
              <w:rPr>
                <w:rFonts w:eastAsia="楷体_GB2312" w:hint="eastAsia"/>
                <w:b/>
                <w:color w:val="000000" w:themeColor="text1"/>
                <w:sz w:val="30"/>
                <w:szCs w:val="30"/>
              </w:rPr>
              <w:t>10389</w:t>
            </w:r>
          </w:p>
        </w:tc>
      </w:tr>
    </w:tbl>
    <w:p w:rsidR="0060305F" w:rsidRDefault="0060305F">
      <w:pPr>
        <w:spacing w:line="500" w:lineRule="exact"/>
        <w:jc w:val="center"/>
        <w:rPr>
          <w:rFonts w:eastAsia="楷体_GB2312"/>
          <w:b/>
          <w:color w:val="000000" w:themeColor="text1"/>
          <w:sz w:val="30"/>
          <w:szCs w:val="30"/>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60305F">
        <w:tc>
          <w:tcPr>
            <w:tcW w:w="2160" w:type="dxa"/>
            <w:vMerge w:val="restart"/>
            <w:vAlign w:val="center"/>
          </w:tcPr>
          <w:p w:rsidR="0060305F" w:rsidRDefault="00EB63B3">
            <w:pPr>
              <w:spacing w:line="500" w:lineRule="exact"/>
              <w:jc w:val="distribute"/>
              <w:rPr>
                <w:rFonts w:eastAsia="楷体_GB2312"/>
                <w:b/>
                <w:color w:val="000000" w:themeColor="text1"/>
                <w:sz w:val="30"/>
                <w:szCs w:val="30"/>
              </w:rPr>
            </w:pPr>
            <w:r>
              <w:rPr>
                <w:rFonts w:eastAsia="楷体_GB2312" w:hint="eastAsia"/>
                <w:b/>
                <w:color w:val="000000" w:themeColor="text1"/>
                <w:sz w:val="30"/>
                <w:szCs w:val="30"/>
              </w:rPr>
              <w:t>授权</w:t>
            </w:r>
            <w:r>
              <w:rPr>
                <w:rFonts w:eastAsia="楷体_GB2312"/>
                <w:b/>
                <w:color w:val="000000" w:themeColor="text1"/>
                <w:sz w:val="30"/>
                <w:szCs w:val="30"/>
              </w:rPr>
              <w:t>学科</w:t>
            </w:r>
          </w:p>
          <w:p w:rsidR="0060305F" w:rsidRDefault="00EB63B3">
            <w:pPr>
              <w:spacing w:line="500" w:lineRule="exact"/>
              <w:jc w:val="distribute"/>
              <w:rPr>
                <w:rFonts w:eastAsia="楷体_GB2312"/>
                <w:b/>
                <w:color w:val="000000" w:themeColor="text1"/>
                <w:sz w:val="30"/>
                <w:szCs w:val="30"/>
              </w:rPr>
            </w:pPr>
            <w:r>
              <w:rPr>
                <w:rFonts w:eastAsia="楷体_GB2312" w:hint="eastAsia"/>
                <w:b/>
                <w:color w:val="000000" w:themeColor="text1"/>
                <w:sz w:val="30"/>
                <w:szCs w:val="30"/>
              </w:rPr>
              <w:t>（类别）</w:t>
            </w:r>
          </w:p>
        </w:tc>
        <w:tc>
          <w:tcPr>
            <w:tcW w:w="2880" w:type="dxa"/>
            <w:tcBorders>
              <w:bottom w:val="single" w:sz="4" w:space="0" w:color="auto"/>
            </w:tcBorders>
            <w:vAlign w:val="center"/>
          </w:tcPr>
          <w:p w:rsidR="0060305F" w:rsidRDefault="00EB63B3">
            <w:pPr>
              <w:spacing w:line="500" w:lineRule="exact"/>
              <w:rPr>
                <w:rFonts w:eastAsia="楷体_GB2312"/>
                <w:b/>
                <w:color w:val="000000" w:themeColor="text1"/>
                <w:sz w:val="30"/>
                <w:szCs w:val="30"/>
              </w:rPr>
            </w:pPr>
            <w:r>
              <w:rPr>
                <w:rFonts w:eastAsia="楷体_GB2312"/>
                <w:b/>
                <w:color w:val="000000" w:themeColor="text1"/>
                <w:sz w:val="30"/>
                <w:szCs w:val="30"/>
              </w:rPr>
              <w:t>名称：</w:t>
            </w:r>
            <w:r>
              <w:rPr>
                <w:rFonts w:eastAsia="楷体_GB2312" w:hint="eastAsia"/>
                <w:b/>
                <w:color w:val="000000" w:themeColor="text1"/>
                <w:sz w:val="30"/>
                <w:szCs w:val="30"/>
              </w:rPr>
              <w:t>公共管理硕士</w:t>
            </w:r>
          </w:p>
        </w:tc>
      </w:tr>
      <w:tr w:rsidR="0060305F">
        <w:tc>
          <w:tcPr>
            <w:tcW w:w="2160" w:type="dxa"/>
            <w:vMerge/>
          </w:tcPr>
          <w:p w:rsidR="0060305F" w:rsidRDefault="0060305F">
            <w:pPr>
              <w:spacing w:line="500" w:lineRule="exact"/>
              <w:jc w:val="center"/>
              <w:rPr>
                <w:rFonts w:eastAsia="楷体_GB2312"/>
                <w:b/>
                <w:color w:val="000000" w:themeColor="text1"/>
                <w:sz w:val="30"/>
                <w:szCs w:val="30"/>
              </w:rPr>
            </w:pPr>
          </w:p>
        </w:tc>
        <w:tc>
          <w:tcPr>
            <w:tcW w:w="2880" w:type="dxa"/>
            <w:tcBorders>
              <w:top w:val="single" w:sz="4" w:space="0" w:color="auto"/>
            </w:tcBorders>
            <w:vAlign w:val="center"/>
          </w:tcPr>
          <w:p w:rsidR="0060305F" w:rsidRDefault="00EB63B3">
            <w:pPr>
              <w:spacing w:line="500" w:lineRule="exact"/>
              <w:rPr>
                <w:rFonts w:eastAsia="楷体_GB2312"/>
                <w:b/>
                <w:color w:val="000000" w:themeColor="text1"/>
                <w:sz w:val="30"/>
                <w:szCs w:val="30"/>
              </w:rPr>
            </w:pPr>
            <w:r>
              <w:rPr>
                <w:rFonts w:eastAsia="楷体_GB2312"/>
                <w:b/>
                <w:color w:val="000000" w:themeColor="text1"/>
                <w:sz w:val="30"/>
                <w:szCs w:val="30"/>
              </w:rPr>
              <w:t>代码：</w:t>
            </w:r>
            <w:r>
              <w:rPr>
                <w:rFonts w:eastAsia="楷体_GB2312" w:hint="eastAsia"/>
                <w:b/>
                <w:color w:val="000000" w:themeColor="text1"/>
                <w:sz w:val="30"/>
                <w:szCs w:val="30"/>
              </w:rPr>
              <w:t>1204</w:t>
            </w:r>
          </w:p>
        </w:tc>
      </w:tr>
    </w:tbl>
    <w:p w:rsidR="0060305F" w:rsidRDefault="0060305F">
      <w:pPr>
        <w:spacing w:line="500" w:lineRule="exact"/>
        <w:jc w:val="center"/>
        <w:rPr>
          <w:rFonts w:eastAsia="楷体_GB2312"/>
          <w:b/>
          <w:color w:val="000000" w:themeColor="text1"/>
          <w:sz w:val="30"/>
          <w:szCs w:val="30"/>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60305F">
        <w:tc>
          <w:tcPr>
            <w:tcW w:w="2160" w:type="dxa"/>
            <w:vMerge w:val="restart"/>
            <w:vAlign w:val="center"/>
          </w:tcPr>
          <w:p w:rsidR="0060305F" w:rsidRDefault="00EB63B3">
            <w:pPr>
              <w:spacing w:line="500" w:lineRule="exact"/>
              <w:jc w:val="distribute"/>
              <w:rPr>
                <w:rFonts w:eastAsia="楷体_GB2312"/>
                <w:b/>
                <w:color w:val="000000" w:themeColor="text1"/>
                <w:sz w:val="30"/>
                <w:szCs w:val="30"/>
              </w:rPr>
            </w:pPr>
            <w:r>
              <w:rPr>
                <w:rFonts w:eastAsia="楷体_GB2312" w:hint="eastAsia"/>
                <w:b/>
                <w:color w:val="000000" w:themeColor="text1"/>
                <w:sz w:val="30"/>
                <w:szCs w:val="30"/>
              </w:rPr>
              <w:t>授权级别</w:t>
            </w:r>
          </w:p>
        </w:tc>
        <w:tc>
          <w:tcPr>
            <w:tcW w:w="2880" w:type="dxa"/>
            <w:tcBorders>
              <w:bottom w:val="single" w:sz="4" w:space="0" w:color="auto"/>
            </w:tcBorders>
            <w:vAlign w:val="center"/>
          </w:tcPr>
          <w:p w:rsidR="0060305F" w:rsidRDefault="00EB63B3">
            <w:pPr>
              <w:spacing w:line="500" w:lineRule="exact"/>
              <w:rPr>
                <w:rFonts w:eastAsia="楷体_GB2312"/>
                <w:b/>
                <w:color w:val="000000" w:themeColor="text1"/>
                <w:sz w:val="30"/>
                <w:szCs w:val="30"/>
              </w:rPr>
            </w:pPr>
            <w:r>
              <w:rPr>
                <w:rFonts w:eastAsia="楷体_GB2312" w:hint="eastAsia"/>
                <w:b/>
                <w:color w:val="000000" w:themeColor="text1"/>
                <w:sz w:val="30"/>
                <w:szCs w:val="30"/>
              </w:rPr>
              <w:t>□</w:t>
            </w:r>
            <w:r>
              <w:rPr>
                <w:rFonts w:eastAsia="楷体_GB2312" w:hint="eastAsia"/>
                <w:b/>
                <w:color w:val="000000" w:themeColor="text1"/>
                <w:sz w:val="30"/>
                <w:szCs w:val="30"/>
              </w:rPr>
              <w:t xml:space="preserve">  </w:t>
            </w:r>
            <w:r>
              <w:rPr>
                <w:rFonts w:eastAsia="楷体_GB2312" w:hint="eastAsia"/>
                <w:b/>
                <w:color w:val="000000" w:themeColor="text1"/>
                <w:sz w:val="30"/>
                <w:szCs w:val="30"/>
              </w:rPr>
              <w:t>博</w:t>
            </w:r>
            <w:r>
              <w:rPr>
                <w:rFonts w:eastAsia="楷体_GB2312" w:hint="eastAsia"/>
                <w:b/>
                <w:color w:val="000000" w:themeColor="text1"/>
                <w:sz w:val="30"/>
                <w:szCs w:val="30"/>
              </w:rPr>
              <w:t xml:space="preserve">  </w:t>
            </w:r>
            <w:r>
              <w:rPr>
                <w:rFonts w:eastAsia="楷体_GB2312" w:hint="eastAsia"/>
                <w:b/>
                <w:color w:val="000000" w:themeColor="text1"/>
                <w:sz w:val="30"/>
                <w:szCs w:val="30"/>
              </w:rPr>
              <w:t>士</w:t>
            </w:r>
          </w:p>
        </w:tc>
      </w:tr>
      <w:tr w:rsidR="0060305F">
        <w:tc>
          <w:tcPr>
            <w:tcW w:w="2160" w:type="dxa"/>
            <w:vMerge/>
          </w:tcPr>
          <w:p w:rsidR="0060305F" w:rsidRDefault="0060305F">
            <w:pPr>
              <w:spacing w:line="500" w:lineRule="exact"/>
              <w:jc w:val="center"/>
              <w:rPr>
                <w:rFonts w:eastAsia="楷体_GB2312"/>
                <w:b/>
                <w:color w:val="000000" w:themeColor="text1"/>
                <w:sz w:val="30"/>
                <w:szCs w:val="30"/>
              </w:rPr>
            </w:pPr>
          </w:p>
        </w:tc>
        <w:tc>
          <w:tcPr>
            <w:tcW w:w="2880" w:type="dxa"/>
            <w:tcBorders>
              <w:top w:val="single" w:sz="4" w:space="0" w:color="auto"/>
            </w:tcBorders>
            <w:vAlign w:val="center"/>
          </w:tcPr>
          <w:p w:rsidR="0060305F" w:rsidRDefault="00EB63B3">
            <w:pPr>
              <w:spacing w:line="500" w:lineRule="exact"/>
              <w:rPr>
                <w:rFonts w:eastAsia="楷体_GB2312"/>
                <w:b/>
                <w:color w:val="000000" w:themeColor="text1"/>
                <w:sz w:val="30"/>
                <w:szCs w:val="30"/>
              </w:rPr>
            </w:pPr>
            <w:r>
              <w:rPr>
                <w:rFonts w:ascii="Arial Unicode MS" w:eastAsia="Arial Unicode MS" w:hAnsi="Arial Unicode MS" w:cs="Arial Unicode MS" w:hint="eastAsia"/>
                <w:b/>
                <w:color w:val="000000" w:themeColor="text1"/>
                <w:sz w:val="30"/>
                <w:szCs w:val="30"/>
              </w:rPr>
              <w:t>■</w:t>
            </w:r>
            <w:r>
              <w:rPr>
                <w:rFonts w:eastAsia="楷体_GB2312" w:hint="eastAsia"/>
                <w:b/>
                <w:color w:val="000000" w:themeColor="text1"/>
                <w:sz w:val="30"/>
                <w:szCs w:val="30"/>
              </w:rPr>
              <w:t xml:space="preserve">  </w:t>
            </w:r>
            <w:proofErr w:type="gramStart"/>
            <w:r>
              <w:rPr>
                <w:rFonts w:eastAsia="楷体_GB2312" w:hint="eastAsia"/>
                <w:b/>
                <w:color w:val="000000" w:themeColor="text1"/>
                <w:sz w:val="30"/>
                <w:szCs w:val="30"/>
              </w:rPr>
              <w:t>硕</w:t>
            </w:r>
            <w:proofErr w:type="gramEnd"/>
            <w:r>
              <w:rPr>
                <w:rFonts w:eastAsia="楷体_GB2312" w:hint="eastAsia"/>
                <w:b/>
                <w:color w:val="000000" w:themeColor="text1"/>
                <w:sz w:val="30"/>
                <w:szCs w:val="30"/>
              </w:rPr>
              <w:t xml:space="preserve">  </w:t>
            </w:r>
            <w:r>
              <w:rPr>
                <w:rFonts w:eastAsia="楷体_GB2312" w:hint="eastAsia"/>
                <w:b/>
                <w:color w:val="000000" w:themeColor="text1"/>
                <w:sz w:val="30"/>
                <w:szCs w:val="30"/>
              </w:rPr>
              <w:t>士</w:t>
            </w:r>
          </w:p>
        </w:tc>
      </w:tr>
    </w:tbl>
    <w:p w:rsidR="0060305F" w:rsidRDefault="0060305F">
      <w:pPr>
        <w:spacing w:line="500" w:lineRule="exact"/>
        <w:jc w:val="center"/>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p w:rsidR="0060305F" w:rsidRDefault="00EB63B3">
      <w:pPr>
        <w:spacing w:line="500" w:lineRule="exact"/>
        <w:jc w:val="center"/>
        <w:outlineLvl w:val="0"/>
        <w:rPr>
          <w:rFonts w:eastAsia="楷体_GB2312"/>
          <w:b/>
          <w:color w:val="000000" w:themeColor="text1"/>
          <w:sz w:val="30"/>
          <w:szCs w:val="30"/>
        </w:rPr>
      </w:pPr>
      <w:bookmarkStart w:id="4" w:name="_Toc834"/>
      <w:bookmarkStart w:id="5" w:name="_Toc102656635"/>
      <w:r>
        <w:rPr>
          <w:rFonts w:eastAsia="楷体_GB2312"/>
          <w:b/>
          <w:color w:val="000000" w:themeColor="text1"/>
          <w:sz w:val="30"/>
          <w:szCs w:val="30"/>
        </w:rPr>
        <w:t>20</w:t>
      </w:r>
      <w:r>
        <w:rPr>
          <w:rFonts w:eastAsia="楷体_GB2312" w:hint="eastAsia"/>
          <w:b/>
          <w:color w:val="000000" w:themeColor="text1"/>
          <w:sz w:val="30"/>
          <w:szCs w:val="30"/>
        </w:rPr>
        <w:t>21</w:t>
      </w:r>
      <w:r>
        <w:rPr>
          <w:rFonts w:eastAsia="楷体_GB2312"/>
          <w:b/>
          <w:color w:val="000000" w:themeColor="text1"/>
          <w:sz w:val="30"/>
          <w:szCs w:val="30"/>
        </w:rPr>
        <w:t>年</w:t>
      </w:r>
      <w:r>
        <w:rPr>
          <w:rFonts w:eastAsia="楷体_GB2312" w:hint="eastAsia"/>
          <w:b/>
          <w:color w:val="000000" w:themeColor="text1"/>
          <w:sz w:val="30"/>
          <w:szCs w:val="30"/>
        </w:rPr>
        <w:t>3</w:t>
      </w:r>
      <w:r>
        <w:rPr>
          <w:rFonts w:eastAsia="楷体_GB2312"/>
          <w:b/>
          <w:color w:val="000000" w:themeColor="text1"/>
          <w:sz w:val="30"/>
          <w:szCs w:val="30"/>
        </w:rPr>
        <w:t>月</w:t>
      </w:r>
      <w:r>
        <w:rPr>
          <w:rFonts w:eastAsia="楷体_GB2312" w:hint="eastAsia"/>
          <w:b/>
          <w:color w:val="000000" w:themeColor="text1"/>
          <w:sz w:val="30"/>
          <w:szCs w:val="30"/>
        </w:rPr>
        <w:t>30</w:t>
      </w:r>
      <w:r>
        <w:rPr>
          <w:rFonts w:eastAsia="楷体_GB2312" w:hint="eastAsia"/>
          <w:b/>
          <w:color w:val="000000" w:themeColor="text1"/>
          <w:sz w:val="30"/>
          <w:szCs w:val="30"/>
        </w:rPr>
        <w:t>日</w:t>
      </w:r>
      <w:bookmarkEnd w:id="4"/>
      <w:bookmarkEnd w:id="5"/>
    </w:p>
    <w:p w:rsidR="0060305F" w:rsidRDefault="0060305F">
      <w:pPr>
        <w:pStyle w:val="a0"/>
        <w:rPr>
          <w:rFonts w:eastAsia="楷体_GB2312"/>
          <w:b/>
          <w:color w:val="000000" w:themeColor="text1"/>
          <w:sz w:val="30"/>
          <w:szCs w:val="30"/>
        </w:rPr>
      </w:pPr>
    </w:p>
    <w:p w:rsidR="0060305F" w:rsidRDefault="0060305F">
      <w:pPr>
        <w:pStyle w:val="a0"/>
        <w:rPr>
          <w:rFonts w:eastAsia="楷体_GB2312"/>
          <w:b/>
          <w:color w:val="000000" w:themeColor="text1"/>
          <w:sz w:val="30"/>
          <w:szCs w:val="30"/>
        </w:rPr>
      </w:pPr>
    </w:p>
    <w:sdt>
      <w:sdtPr>
        <w:rPr>
          <w:rFonts w:ascii="宋体" w:eastAsia="宋体" w:hAnsi="宋体" w:cs="Times New Roman"/>
          <w:snapToGrid/>
          <w:sz w:val="44"/>
          <w:szCs w:val="44"/>
        </w:rPr>
        <w:id w:val="147458148"/>
        <w:docPartObj>
          <w:docPartGallery w:val="Table of Contents"/>
          <w:docPartUnique/>
        </w:docPartObj>
      </w:sdtPr>
      <w:sdtEndPr>
        <w:rPr>
          <w:rFonts w:ascii="仿宋" w:eastAsia="仿宋" w:hAnsi="仿宋" w:cs="Arial" w:hint="eastAsia"/>
          <w:snapToGrid w:val="0"/>
          <w:color w:val="000000" w:themeColor="text1"/>
          <w:szCs w:val="30"/>
        </w:rPr>
      </w:sdtEndPr>
      <w:sdtContent>
        <w:p w:rsidR="0060305F" w:rsidRDefault="00EB63B3">
          <w:pPr>
            <w:widowControl w:val="0"/>
            <w:kinsoku/>
            <w:autoSpaceDE/>
            <w:autoSpaceDN/>
            <w:snapToGrid/>
            <w:jc w:val="center"/>
            <w:rPr>
              <w:rFonts w:ascii="宋体" w:eastAsia="宋体" w:hAnsi="宋体" w:cs="Times New Roman"/>
              <w:b/>
              <w:bCs/>
              <w:snapToGrid/>
              <w:sz w:val="44"/>
              <w:szCs w:val="44"/>
            </w:rPr>
          </w:pPr>
          <w:r>
            <w:rPr>
              <w:rFonts w:ascii="宋体" w:eastAsia="宋体" w:hAnsi="宋体" w:cs="Times New Roman"/>
              <w:b/>
              <w:bCs/>
              <w:snapToGrid/>
              <w:sz w:val="44"/>
              <w:szCs w:val="44"/>
            </w:rPr>
            <w:t>目</w:t>
          </w:r>
          <w:r>
            <w:rPr>
              <w:rFonts w:ascii="宋体" w:eastAsia="宋体" w:hAnsi="宋体" w:cs="Times New Roman" w:hint="eastAsia"/>
              <w:b/>
              <w:bCs/>
              <w:snapToGrid/>
              <w:sz w:val="44"/>
              <w:szCs w:val="44"/>
            </w:rPr>
            <w:t xml:space="preserve"> </w:t>
          </w:r>
          <w:r>
            <w:rPr>
              <w:rFonts w:ascii="宋体" w:eastAsia="宋体" w:hAnsi="宋体" w:cs="Times New Roman"/>
              <w:b/>
              <w:bCs/>
              <w:snapToGrid/>
              <w:sz w:val="44"/>
              <w:szCs w:val="44"/>
            </w:rPr>
            <w:t>录</w:t>
          </w:r>
        </w:p>
        <w:p w:rsidR="0060305F" w:rsidRDefault="00EB63B3">
          <w:pPr>
            <w:pStyle w:val="10"/>
            <w:tabs>
              <w:tab w:val="right" w:leader="dot" w:pos="8438"/>
            </w:tabs>
            <w:rPr>
              <w:rFonts w:ascii="仿宋" w:eastAsia="仿宋" w:hAnsi="仿宋" w:cstheme="minorBidi"/>
              <w:snapToGrid/>
              <w:color w:val="auto"/>
              <w:kern w:val="2"/>
              <w:sz w:val="24"/>
              <w:szCs w:val="22"/>
            </w:rPr>
          </w:pPr>
          <w:r>
            <w:rPr>
              <w:rFonts w:ascii="仿宋" w:eastAsia="仿宋" w:hAnsi="仿宋" w:cs="Times New Roman" w:hint="eastAsia"/>
              <w:b/>
              <w:snapToGrid/>
              <w:color w:val="000000" w:themeColor="text1"/>
              <w:sz w:val="30"/>
              <w:szCs w:val="30"/>
            </w:rPr>
            <w:fldChar w:fldCharType="begin"/>
          </w:r>
          <w:r>
            <w:rPr>
              <w:rFonts w:ascii="仿宋" w:eastAsia="仿宋" w:hAnsi="仿宋" w:hint="eastAsia"/>
              <w:b/>
              <w:color w:val="000000" w:themeColor="text1"/>
              <w:sz w:val="30"/>
              <w:szCs w:val="30"/>
            </w:rPr>
            <w:instrText xml:space="preserve">TOC \o "1-3" \h \u </w:instrText>
          </w:r>
          <w:r>
            <w:rPr>
              <w:rFonts w:ascii="仿宋" w:eastAsia="仿宋" w:hAnsi="仿宋" w:cs="Times New Roman" w:hint="eastAsia"/>
              <w:b/>
              <w:snapToGrid/>
              <w:color w:val="000000" w:themeColor="text1"/>
              <w:sz w:val="30"/>
              <w:szCs w:val="30"/>
            </w:rPr>
            <w:fldChar w:fldCharType="separate"/>
          </w:r>
        </w:p>
        <w:p w:rsidR="0060305F" w:rsidRDefault="008C2F2D">
          <w:pPr>
            <w:pStyle w:val="10"/>
            <w:tabs>
              <w:tab w:val="right" w:leader="dot" w:pos="8438"/>
            </w:tabs>
            <w:rPr>
              <w:rFonts w:ascii="仿宋" w:eastAsia="仿宋" w:hAnsi="仿宋" w:cs="仿宋"/>
              <w:snapToGrid/>
              <w:color w:val="auto"/>
              <w:kern w:val="2"/>
              <w:sz w:val="28"/>
              <w:szCs w:val="28"/>
            </w:rPr>
          </w:pPr>
          <w:hyperlink w:anchor="_Toc102656636" w:history="1">
            <w:r w:rsidR="00EB63B3">
              <w:rPr>
                <w:rStyle w:val="aa"/>
                <w:rFonts w:ascii="仿宋" w:eastAsia="仿宋" w:hAnsi="仿宋" w:cs="仿宋" w:hint="eastAsia"/>
                <w:sz w:val="28"/>
                <w:szCs w:val="28"/>
              </w:rPr>
              <w:t>一、学位授权点基本情况</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_Toc102656636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3</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37" w:history="1">
            <w:r w:rsidR="00EB63B3">
              <w:rPr>
                <w:rStyle w:val="aa"/>
                <w:rFonts w:ascii="仿宋" w:eastAsia="仿宋" w:hAnsi="仿宋" w:cs="仿宋" w:hint="eastAsia"/>
                <w:sz w:val="28"/>
                <w:szCs w:val="28"/>
              </w:rPr>
              <w:t>（一）基本概况</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_Toc102656637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3</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38" w:history="1">
            <w:r w:rsidR="00EB63B3">
              <w:rPr>
                <w:rStyle w:val="aa"/>
                <w:rFonts w:ascii="仿宋" w:eastAsia="仿宋" w:hAnsi="仿宋" w:cs="仿宋" w:hint="eastAsia"/>
                <w:sz w:val="28"/>
                <w:szCs w:val="28"/>
              </w:rPr>
              <w:t>（二）目标与标准</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_Toc102656638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5</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39" w:history="1">
            <w:r w:rsidR="00EB63B3">
              <w:rPr>
                <w:rStyle w:val="aa"/>
                <w:rFonts w:ascii="仿宋" w:eastAsia="仿宋" w:hAnsi="仿宋" w:cs="仿宋" w:hint="eastAsia"/>
                <w:sz w:val="28"/>
                <w:szCs w:val="28"/>
              </w:rPr>
              <w:t>1.</w:t>
            </w:r>
            <w:r w:rsidR="00EB63B3">
              <w:rPr>
                <w:rStyle w:val="aa"/>
                <w:rFonts w:ascii="仿宋" w:eastAsia="仿宋" w:hAnsi="仿宋" w:cs="仿宋" w:hint="eastAsia"/>
                <w:sz w:val="28"/>
                <w:szCs w:val="28"/>
                <w:lang w:val="zh-CN"/>
              </w:rPr>
              <w:t>培养目标</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_Toc102656639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5</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40" w:history="1">
            <w:r w:rsidR="00EB63B3">
              <w:rPr>
                <w:rStyle w:val="aa"/>
                <w:rFonts w:ascii="仿宋" w:eastAsia="仿宋" w:hAnsi="仿宋" w:cs="仿宋" w:hint="eastAsia"/>
                <w:sz w:val="28"/>
                <w:szCs w:val="28"/>
                <w:lang w:val="zh-CN"/>
              </w:rPr>
              <w:t>2.学位标准</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_Toc102656640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5</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41" w:history="1">
            <w:r w:rsidR="00EB63B3">
              <w:rPr>
                <w:rStyle w:val="aa"/>
                <w:rFonts w:ascii="仿宋" w:eastAsia="仿宋" w:hAnsi="仿宋" w:cs="仿宋" w:hint="eastAsia"/>
                <w:sz w:val="28"/>
                <w:szCs w:val="28"/>
              </w:rPr>
              <w:t>（三）基本条件</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_Toc102656641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6</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42" w:history="1">
            <w:r w:rsidR="00EB63B3">
              <w:rPr>
                <w:rStyle w:val="aa"/>
                <w:rFonts w:ascii="仿宋" w:eastAsia="仿宋" w:hAnsi="仿宋" w:cs="仿宋" w:hint="eastAsia"/>
                <w:sz w:val="28"/>
                <w:szCs w:val="28"/>
              </w:rPr>
              <w:t>1.培养方向</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_Toc102656642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6</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43" w:history="1">
            <w:r w:rsidR="00EB63B3">
              <w:rPr>
                <w:rStyle w:val="aa"/>
                <w:rFonts w:ascii="仿宋" w:eastAsia="仿宋" w:hAnsi="仿宋" w:cs="仿宋" w:hint="eastAsia"/>
                <w:sz w:val="28"/>
                <w:szCs w:val="28"/>
              </w:rPr>
              <w:t>2.师资队伍</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_Toc102656643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6</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44" w:history="1">
            <w:r w:rsidR="00EB63B3">
              <w:rPr>
                <w:rStyle w:val="aa"/>
                <w:rFonts w:ascii="仿宋" w:eastAsia="仿宋" w:hAnsi="仿宋" w:cs="仿宋" w:hint="eastAsia"/>
                <w:sz w:val="28"/>
                <w:szCs w:val="28"/>
              </w:rPr>
              <w:t>3.</w:t>
            </w:r>
            <w:r w:rsidR="00EB63B3">
              <w:rPr>
                <w:rStyle w:val="aa"/>
                <w:rFonts w:ascii="仿宋" w:eastAsia="仿宋" w:hAnsi="仿宋" w:cs="仿宋" w:hint="eastAsia"/>
                <w:sz w:val="28"/>
                <w:szCs w:val="28"/>
                <w:lang w:val="zh-CN"/>
              </w:rPr>
              <w:t>科学研究</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_Toc102656644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7</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45" w:history="1">
            <w:r w:rsidR="00EB63B3">
              <w:rPr>
                <w:rStyle w:val="aa"/>
                <w:rFonts w:ascii="仿宋" w:eastAsia="仿宋" w:hAnsi="仿宋" w:cs="仿宋" w:hint="eastAsia"/>
                <w:sz w:val="28"/>
                <w:szCs w:val="28"/>
              </w:rPr>
              <w:t>4.</w:t>
            </w:r>
            <w:r w:rsidR="00EB63B3">
              <w:rPr>
                <w:rStyle w:val="aa"/>
                <w:rFonts w:ascii="仿宋" w:eastAsia="仿宋" w:hAnsi="仿宋" w:cs="仿宋" w:hint="eastAsia"/>
                <w:sz w:val="28"/>
                <w:szCs w:val="28"/>
                <w:lang w:val="zh-CN"/>
              </w:rPr>
              <w:t>教学科研支撑</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_Toc102656645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9</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46" w:history="1">
            <w:r w:rsidR="00EB63B3">
              <w:rPr>
                <w:rStyle w:val="aa"/>
                <w:rFonts w:ascii="仿宋" w:eastAsia="仿宋" w:hAnsi="仿宋" w:cs="仿宋" w:hint="eastAsia"/>
                <w:sz w:val="28"/>
                <w:szCs w:val="28"/>
              </w:rPr>
              <w:t>5.</w:t>
            </w:r>
            <w:r w:rsidR="00EB63B3">
              <w:rPr>
                <w:rStyle w:val="aa"/>
                <w:rFonts w:ascii="仿宋" w:eastAsia="仿宋" w:hAnsi="仿宋" w:cs="仿宋" w:hint="eastAsia"/>
                <w:sz w:val="28"/>
                <w:szCs w:val="28"/>
                <w:lang w:val="zh-CN"/>
              </w:rPr>
              <w:t>资助体系</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_Toc102656646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10</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47" w:history="1">
            <w:r w:rsidR="00EB63B3">
              <w:rPr>
                <w:rStyle w:val="aa"/>
                <w:rFonts w:ascii="仿宋" w:eastAsia="仿宋" w:hAnsi="仿宋" w:cs="仿宋" w:hint="eastAsia"/>
                <w:sz w:val="28"/>
                <w:szCs w:val="28"/>
              </w:rPr>
              <w:t>6.管理服务</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_Toc102656647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10</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48" w:history="1">
            <w:r w:rsidR="00EB63B3">
              <w:rPr>
                <w:rStyle w:val="aa"/>
                <w:rFonts w:ascii="仿宋" w:eastAsia="仿宋" w:hAnsi="仿宋" w:cs="仿宋" w:hint="eastAsia"/>
                <w:sz w:val="28"/>
                <w:szCs w:val="28"/>
              </w:rPr>
              <w:t>（四）人才培养</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_Toc102656648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11</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49" w:history="1">
            <w:r w:rsidR="00EB63B3">
              <w:rPr>
                <w:rStyle w:val="aa"/>
                <w:rFonts w:ascii="仿宋" w:eastAsia="仿宋" w:hAnsi="仿宋" w:cs="仿宋" w:hint="eastAsia"/>
                <w:sz w:val="28"/>
                <w:szCs w:val="28"/>
              </w:rPr>
              <w:t>1.思想政治教育</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_Toc102656649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11</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50" w:history="1">
            <w:r w:rsidR="00EB63B3">
              <w:rPr>
                <w:rStyle w:val="aa"/>
                <w:rFonts w:ascii="仿宋" w:eastAsia="仿宋" w:hAnsi="仿宋" w:cs="仿宋" w:hint="eastAsia"/>
                <w:sz w:val="28"/>
                <w:szCs w:val="28"/>
              </w:rPr>
              <w:t>2.师德师风建设</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_Toc102656650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12</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51" w:history="1">
            <w:r w:rsidR="00EB63B3">
              <w:rPr>
                <w:rStyle w:val="aa"/>
                <w:rFonts w:ascii="仿宋" w:eastAsia="仿宋" w:hAnsi="仿宋" w:cs="仿宋" w:hint="eastAsia"/>
                <w:sz w:val="28"/>
                <w:szCs w:val="28"/>
              </w:rPr>
              <w:t>3.招生选拔</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_Toc102656651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13</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52" w:history="1">
            <w:r w:rsidR="00EB63B3">
              <w:rPr>
                <w:rStyle w:val="aa"/>
                <w:rFonts w:ascii="仿宋" w:eastAsia="仿宋" w:hAnsi="仿宋" w:cs="仿宋" w:hint="eastAsia"/>
                <w:sz w:val="28"/>
                <w:szCs w:val="28"/>
              </w:rPr>
              <w:t>4.课程教学</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_Toc102656652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14</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53" w:history="1">
            <w:r w:rsidR="00EB63B3">
              <w:rPr>
                <w:rStyle w:val="aa"/>
                <w:rFonts w:ascii="仿宋" w:eastAsia="仿宋" w:hAnsi="仿宋" w:cs="仿宋" w:hint="eastAsia"/>
                <w:sz w:val="28"/>
                <w:szCs w:val="28"/>
              </w:rPr>
              <w:t>5.导师管理</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_Toc102656653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15</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54" w:history="1">
            <w:r w:rsidR="00EB63B3">
              <w:rPr>
                <w:rStyle w:val="aa"/>
                <w:rFonts w:ascii="仿宋" w:eastAsia="仿宋" w:hAnsi="仿宋" w:cs="仿宋" w:hint="eastAsia"/>
                <w:sz w:val="28"/>
                <w:szCs w:val="28"/>
              </w:rPr>
              <w:t>6.学术训练</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_Toc102656654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16</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55" w:history="1">
            <w:r w:rsidR="00EB63B3">
              <w:rPr>
                <w:rStyle w:val="aa"/>
                <w:rFonts w:ascii="仿宋" w:eastAsia="仿宋" w:hAnsi="仿宋" w:cs="仿宋" w:hint="eastAsia"/>
                <w:sz w:val="28"/>
                <w:szCs w:val="28"/>
              </w:rPr>
              <w:t>（五）质量监控</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_Toc102656655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17</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56" w:history="1">
            <w:r w:rsidR="00EB63B3">
              <w:rPr>
                <w:rStyle w:val="aa"/>
                <w:rFonts w:ascii="仿宋" w:eastAsia="仿宋" w:hAnsi="仿宋" w:cs="仿宋" w:hint="eastAsia"/>
                <w:sz w:val="28"/>
                <w:szCs w:val="28"/>
              </w:rPr>
              <w:t>1.分流淘汰</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_Toc102656656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17</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57" w:history="1">
            <w:r w:rsidR="00EB63B3">
              <w:rPr>
                <w:rStyle w:val="aa"/>
                <w:rFonts w:ascii="仿宋" w:eastAsia="仿宋" w:hAnsi="仿宋" w:cs="仿宋" w:hint="eastAsia"/>
                <w:sz w:val="28"/>
                <w:szCs w:val="28"/>
              </w:rPr>
              <w:t>2.学位论文</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_Toc102656657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17</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58" w:history="1">
            <w:r w:rsidR="00EB63B3">
              <w:rPr>
                <w:rStyle w:val="aa"/>
                <w:rFonts w:ascii="仿宋" w:eastAsia="仿宋" w:hAnsi="仿宋" w:cs="仿宋" w:hint="eastAsia"/>
                <w:sz w:val="28"/>
                <w:szCs w:val="28"/>
              </w:rPr>
              <w:t>3.学风教育</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_Toc102656658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18</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59" w:history="1">
            <w:r w:rsidR="00EB63B3">
              <w:rPr>
                <w:rStyle w:val="aa"/>
                <w:rFonts w:ascii="仿宋" w:eastAsia="仿宋" w:hAnsi="仿宋" w:cs="仿宋" w:hint="eastAsia"/>
                <w:sz w:val="28"/>
                <w:szCs w:val="28"/>
              </w:rPr>
              <w:t>4.就业发展</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_Toc102656659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19</w:t>
            </w:r>
            <w:r w:rsidR="00EB63B3">
              <w:rPr>
                <w:rFonts w:ascii="仿宋" w:eastAsia="仿宋" w:hAnsi="仿宋" w:cs="仿宋" w:hint="eastAsia"/>
                <w:sz w:val="28"/>
                <w:szCs w:val="28"/>
              </w:rPr>
              <w:fldChar w:fldCharType="end"/>
            </w:r>
          </w:hyperlink>
        </w:p>
        <w:p w:rsidR="0060305F" w:rsidRDefault="008C2F2D">
          <w:pPr>
            <w:pStyle w:val="10"/>
            <w:tabs>
              <w:tab w:val="right" w:leader="dot" w:pos="8438"/>
            </w:tabs>
            <w:rPr>
              <w:rFonts w:ascii="仿宋" w:eastAsia="仿宋" w:hAnsi="仿宋" w:cs="仿宋"/>
              <w:snapToGrid/>
              <w:color w:val="auto"/>
              <w:kern w:val="2"/>
              <w:sz w:val="28"/>
              <w:szCs w:val="28"/>
            </w:rPr>
          </w:pPr>
          <w:hyperlink w:anchor="_Toc102656660" w:history="1">
            <w:r w:rsidR="00EB63B3">
              <w:rPr>
                <w:rStyle w:val="aa"/>
                <w:rFonts w:ascii="仿宋" w:eastAsia="仿宋" w:hAnsi="仿宋" w:cs="仿宋" w:hint="eastAsia"/>
                <w:sz w:val="28"/>
                <w:szCs w:val="28"/>
              </w:rPr>
              <w:t>二、工作特色与成效</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_Toc102656660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20</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61" w:history="1">
            <w:r w:rsidR="00EB63B3">
              <w:rPr>
                <w:rStyle w:val="aa"/>
                <w:rFonts w:ascii="仿宋" w:eastAsia="仿宋" w:hAnsi="仿宋" w:cs="仿宋" w:hint="eastAsia"/>
                <w:sz w:val="28"/>
                <w:szCs w:val="28"/>
              </w:rPr>
              <w:t>（一）研究生导师立德树人履职成效明显</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_Toc102656661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20</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62" w:history="1">
            <w:r w:rsidR="00EB63B3">
              <w:rPr>
                <w:rStyle w:val="aa"/>
                <w:rFonts w:ascii="仿宋" w:eastAsia="仿宋" w:hAnsi="仿宋" w:cs="仿宋" w:hint="eastAsia"/>
                <w:sz w:val="28"/>
                <w:szCs w:val="28"/>
              </w:rPr>
              <w:t>（二）不断健全研究生教育质量保障体系</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_Toc102656662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20</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63" w:history="1">
            <w:r w:rsidR="00EB63B3">
              <w:rPr>
                <w:rStyle w:val="aa"/>
                <w:rFonts w:ascii="仿宋" w:eastAsia="仿宋" w:hAnsi="仿宋" w:cs="仿宋" w:hint="eastAsia"/>
                <w:sz w:val="28"/>
                <w:szCs w:val="28"/>
              </w:rPr>
              <w:t>（三）逐步完善以德智体美劳全面发展为目标的人才培养方案</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_Toc102656663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21</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64" w:history="1">
            <w:r w:rsidR="00EB63B3">
              <w:rPr>
                <w:rStyle w:val="aa"/>
                <w:rFonts w:ascii="仿宋" w:eastAsia="仿宋" w:hAnsi="仿宋" w:cs="仿宋" w:hint="eastAsia"/>
                <w:sz w:val="28"/>
                <w:szCs w:val="28"/>
              </w:rPr>
              <w:t>（四）积极拓展对外合作办学</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_Toc102656664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21</w:t>
            </w:r>
            <w:r w:rsidR="00EB63B3">
              <w:rPr>
                <w:rFonts w:ascii="仿宋" w:eastAsia="仿宋" w:hAnsi="仿宋" w:cs="仿宋" w:hint="eastAsia"/>
                <w:sz w:val="28"/>
                <w:szCs w:val="28"/>
              </w:rPr>
              <w:fldChar w:fldCharType="end"/>
            </w:r>
          </w:hyperlink>
        </w:p>
        <w:p w:rsidR="0060305F" w:rsidRDefault="008C2F2D">
          <w:pPr>
            <w:pStyle w:val="10"/>
            <w:tabs>
              <w:tab w:val="right" w:leader="dot" w:pos="8438"/>
            </w:tabs>
            <w:rPr>
              <w:rFonts w:ascii="仿宋" w:eastAsia="仿宋" w:hAnsi="仿宋" w:cs="仿宋"/>
              <w:snapToGrid/>
              <w:color w:val="auto"/>
              <w:kern w:val="2"/>
              <w:sz w:val="28"/>
              <w:szCs w:val="28"/>
            </w:rPr>
          </w:pPr>
          <w:hyperlink w:anchor="_Toc102656665" w:history="1">
            <w:r w:rsidR="00EB63B3">
              <w:rPr>
                <w:rStyle w:val="aa"/>
                <w:rFonts w:ascii="仿宋" w:eastAsia="仿宋" w:hAnsi="仿宋" w:cs="仿宋" w:hint="eastAsia"/>
                <w:sz w:val="28"/>
                <w:szCs w:val="28"/>
              </w:rPr>
              <w:t>三、学位点建设存在的主要问题和不足</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_Toc102656665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21</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66" w:history="1">
            <w:r w:rsidR="00EB63B3">
              <w:rPr>
                <w:rStyle w:val="aa"/>
                <w:rFonts w:ascii="仿宋" w:eastAsia="仿宋" w:hAnsi="仿宋" w:cs="仿宋" w:hint="eastAsia"/>
                <w:sz w:val="28"/>
                <w:szCs w:val="28"/>
              </w:rPr>
              <w:t>（一）学科特色不够鲜明</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_Toc102656666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21</w:t>
            </w:r>
            <w:r w:rsidR="00EB63B3">
              <w:rPr>
                <w:rFonts w:ascii="仿宋" w:eastAsia="仿宋" w:hAnsi="仿宋" w:cs="仿宋" w:hint="eastAsia"/>
                <w:sz w:val="28"/>
                <w:szCs w:val="28"/>
              </w:rPr>
              <w:fldChar w:fldCharType="end"/>
            </w:r>
          </w:hyperlink>
        </w:p>
        <w:p w:rsidR="0060305F" w:rsidRDefault="008C2F2D">
          <w:pPr>
            <w:pStyle w:val="20"/>
            <w:tabs>
              <w:tab w:val="right" w:leader="dot" w:pos="8438"/>
            </w:tabs>
            <w:rPr>
              <w:rFonts w:ascii="仿宋" w:eastAsia="仿宋" w:hAnsi="仿宋" w:cs="仿宋"/>
              <w:snapToGrid/>
              <w:color w:val="auto"/>
              <w:kern w:val="2"/>
              <w:sz w:val="28"/>
              <w:szCs w:val="28"/>
            </w:rPr>
          </w:pPr>
          <w:hyperlink w:anchor="_Toc102656667" w:history="1">
            <w:r w:rsidR="00EB63B3">
              <w:rPr>
                <w:rStyle w:val="aa"/>
                <w:rFonts w:ascii="仿宋" w:eastAsia="仿宋" w:hAnsi="仿宋" w:cs="仿宋" w:hint="eastAsia"/>
                <w:sz w:val="28"/>
                <w:szCs w:val="28"/>
              </w:rPr>
              <w:t>（二）对外开放办学广度和深度不够</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_Toc102656667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21</w:t>
            </w:r>
            <w:r w:rsidR="00EB63B3">
              <w:rPr>
                <w:rFonts w:ascii="仿宋" w:eastAsia="仿宋" w:hAnsi="仿宋" w:cs="仿宋" w:hint="eastAsia"/>
                <w:sz w:val="28"/>
                <w:szCs w:val="28"/>
              </w:rPr>
              <w:fldChar w:fldCharType="end"/>
            </w:r>
          </w:hyperlink>
        </w:p>
        <w:p w:rsidR="0060305F" w:rsidRDefault="008C2F2D">
          <w:pPr>
            <w:pStyle w:val="10"/>
            <w:tabs>
              <w:tab w:val="right" w:leader="dot" w:pos="8438"/>
            </w:tabs>
            <w:rPr>
              <w:rFonts w:ascii="仿宋" w:eastAsia="仿宋" w:hAnsi="仿宋" w:cs="仿宋"/>
              <w:snapToGrid/>
              <w:color w:val="auto"/>
              <w:kern w:val="2"/>
              <w:sz w:val="28"/>
              <w:szCs w:val="28"/>
            </w:rPr>
          </w:pPr>
          <w:hyperlink w:anchor="_Toc102656668" w:history="1">
            <w:r w:rsidR="00EB63B3">
              <w:rPr>
                <w:rStyle w:val="aa"/>
                <w:rFonts w:ascii="仿宋" w:eastAsia="仿宋" w:hAnsi="仿宋" w:cs="仿宋" w:hint="eastAsia"/>
                <w:sz w:val="28"/>
                <w:szCs w:val="28"/>
              </w:rPr>
              <w:t>四、下一年度建设计划</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_Toc102656668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22</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69" w:history="1">
            <w:r w:rsidR="00EB63B3">
              <w:rPr>
                <w:rStyle w:val="aa"/>
                <w:rFonts w:ascii="仿宋" w:eastAsia="仿宋" w:hAnsi="仿宋" w:cs="仿宋" w:hint="eastAsia"/>
                <w:sz w:val="28"/>
                <w:szCs w:val="28"/>
              </w:rPr>
              <w:t>（一）不断加强党对学院工作的全面领导</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_Toc102656669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22</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70" w:history="1">
            <w:r w:rsidR="00EB63B3">
              <w:rPr>
                <w:rStyle w:val="aa"/>
                <w:rFonts w:ascii="仿宋" w:eastAsia="仿宋" w:hAnsi="仿宋" w:cs="仿宋" w:hint="eastAsia"/>
                <w:sz w:val="28"/>
                <w:szCs w:val="28"/>
              </w:rPr>
              <w:t>（二）优化布局结构，加强学科建设,提升学科整体实力</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_Toc102656670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22</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71" w:history="1">
            <w:r w:rsidR="00EB63B3">
              <w:rPr>
                <w:rStyle w:val="aa"/>
                <w:rFonts w:ascii="仿宋" w:eastAsia="仿宋" w:hAnsi="仿宋" w:cs="仿宋" w:hint="eastAsia"/>
                <w:sz w:val="28"/>
                <w:szCs w:val="28"/>
              </w:rPr>
              <w:t>（三）夯实育人之基，建设高素质创新型师资队伍</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_Toc102656671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22</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 w:val="28"/>
              <w:szCs w:val="28"/>
            </w:rPr>
          </w:pPr>
          <w:hyperlink w:anchor="_Toc102656672" w:history="1">
            <w:r w:rsidR="00EB63B3">
              <w:rPr>
                <w:rStyle w:val="aa"/>
                <w:rFonts w:ascii="仿宋" w:eastAsia="仿宋" w:hAnsi="仿宋" w:cs="仿宋" w:hint="eastAsia"/>
                <w:sz w:val="28"/>
                <w:szCs w:val="28"/>
              </w:rPr>
              <w:t>（四）着力提升立德树人成效，构建有特色高水平人才培养体系</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_Toc102656672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23</w:t>
            </w:r>
            <w:r w:rsidR="00EB63B3">
              <w:rPr>
                <w:rFonts w:ascii="仿宋" w:eastAsia="仿宋" w:hAnsi="仿宋" w:cs="仿宋" w:hint="eastAsia"/>
                <w:sz w:val="28"/>
                <w:szCs w:val="28"/>
              </w:rPr>
              <w:fldChar w:fldCharType="end"/>
            </w:r>
          </w:hyperlink>
        </w:p>
        <w:p w:rsidR="0060305F" w:rsidRDefault="008C2F2D">
          <w:pPr>
            <w:pStyle w:val="30"/>
            <w:tabs>
              <w:tab w:val="right" w:leader="dot" w:pos="8438"/>
            </w:tabs>
            <w:rPr>
              <w:rFonts w:ascii="仿宋" w:eastAsia="仿宋" w:hAnsi="仿宋" w:cs="仿宋"/>
              <w:snapToGrid/>
              <w:color w:val="auto"/>
              <w:kern w:val="2"/>
              <w:szCs w:val="22"/>
            </w:rPr>
          </w:pPr>
          <w:hyperlink w:anchor="_Toc102656673" w:history="1">
            <w:r w:rsidR="00EB63B3">
              <w:rPr>
                <w:rStyle w:val="aa"/>
                <w:rFonts w:ascii="仿宋" w:eastAsia="仿宋" w:hAnsi="仿宋" w:cs="仿宋" w:hint="eastAsia"/>
                <w:sz w:val="28"/>
                <w:szCs w:val="28"/>
              </w:rPr>
              <w:t>（五）强化协同发展，推进科研育人和社会服务育人，增强社会服务实效</w:t>
            </w:r>
            <w:r w:rsidR="00EB63B3">
              <w:rPr>
                <w:rFonts w:ascii="仿宋" w:eastAsia="仿宋" w:hAnsi="仿宋" w:cs="仿宋" w:hint="eastAsia"/>
                <w:sz w:val="28"/>
                <w:szCs w:val="28"/>
              </w:rPr>
              <w:tab/>
            </w:r>
            <w:r w:rsidR="00EB63B3">
              <w:rPr>
                <w:rFonts w:ascii="仿宋" w:eastAsia="仿宋" w:hAnsi="仿宋" w:cs="仿宋" w:hint="eastAsia"/>
                <w:sz w:val="28"/>
                <w:szCs w:val="28"/>
              </w:rPr>
              <w:fldChar w:fldCharType="begin"/>
            </w:r>
            <w:r w:rsidR="00EB63B3">
              <w:rPr>
                <w:rFonts w:ascii="仿宋" w:eastAsia="仿宋" w:hAnsi="仿宋" w:cs="仿宋" w:hint="eastAsia"/>
                <w:sz w:val="28"/>
                <w:szCs w:val="28"/>
              </w:rPr>
              <w:instrText xml:space="preserve"> PAGEREF _Toc102656673 \h </w:instrText>
            </w:r>
            <w:r w:rsidR="00EB63B3">
              <w:rPr>
                <w:rFonts w:ascii="仿宋" w:eastAsia="仿宋" w:hAnsi="仿宋" w:cs="仿宋" w:hint="eastAsia"/>
                <w:sz w:val="28"/>
                <w:szCs w:val="28"/>
              </w:rPr>
            </w:r>
            <w:r w:rsidR="00EB63B3">
              <w:rPr>
                <w:rFonts w:ascii="仿宋" w:eastAsia="仿宋" w:hAnsi="仿宋" w:cs="仿宋" w:hint="eastAsia"/>
                <w:sz w:val="28"/>
                <w:szCs w:val="28"/>
              </w:rPr>
              <w:fldChar w:fldCharType="separate"/>
            </w:r>
            <w:r w:rsidR="00EB63B3">
              <w:rPr>
                <w:rFonts w:ascii="仿宋" w:eastAsia="仿宋" w:hAnsi="仿宋" w:cs="仿宋" w:hint="eastAsia"/>
                <w:sz w:val="28"/>
                <w:szCs w:val="28"/>
              </w:rPr>
              <w:t>24</w:t>
            </w:r>
            <w:r w:rsidR="00EB63B3">
              <w:rPr>
                <w:rFonts w:ascii="仿宋" w:eastAsia="仿宋" w:hAnsi="仿宋" w:cs="仿宋" w:hint="eastAsia"/>
                <w:sz w:val="28"/>
                <w:szCs w:val="28"/>
              </w:rPr>
              <w:fldChar w:fldCharType="end"/>
            </w:r>
          </w:hyperlink>
        </w:p>
        <w:p w:rsidR="0060305F" w:rsidRDefault="00EB63B3">
          <w:pPr>
            <w:pStyle w:val="a0"/>
            <w:rPr>
              <w:rFonts w:ascii="仿宋" w:eastAsia="仿宋" w:hAnsi="仿宋"/>
              <w:b/>
              <w:color w:val="000000" w:themeColor="text1"/>
              <w:sz w:val="30"/>
              <w:szCs w:val="30"/>
            </w:rPr>
          </w:pPr>
          <w:r>
            <w:rPr>
              <w:rFonts w:ascii="仿宋" w:eastAsia="仿宋" w:hAnsi="仿宋" w:hint="eastAsia"/>
              <w:color w:val="000000" w:themeColor="text1"/>
              <w:szCs w:val="30"/>
            </w:rPr>
            <w:fldChar w:fldCharType="end"/>
          </w:r>
        </w:p>
      </w:sdtContent>
    </w:sdt>
    <w:p w:rsidR="0060305F" w:rsidRDefault="0060305F">
      <w:pPr>
        <w:ind w:firstLineChars="200" w:firstLine="640"/>
        <w:outlineLvl w:val="0"/>
        <w:rPr>
          <w:rFonts w:ascii="黑体" w:eastAsia="黑体" w:hAnsi="黑体" w:cs="黑体"/>
          <w:sz w:val="32"/>
          <w:szCs w:val="32"/>
        </w:rPr>
        <w:sectPr w:rsidR="0060305F">
          <w:footerReference w:type="default" r:id="rId10"/>
          <w:pgSz w:w="11905" w:h="16840"/>
          <w:pgMar w:top="1429" w:right="1672" w:bottom="1395" w:left="1785" w:header="0" w:footer="1276" w:gutter="0"/>
          <w:pgNumType w:start="1"/>
          <w:cols w:space="0"/>
        </w:sectPr>
      </w:pPr>
      <w:bookmarkStart w:id="6" w:name="_Toc102656636"/>
      <w:bookmarkStart w:id="7" w:name="_Toc13337"/>
    </w:p>
    <w:p w:rsidR="0060305F" w:rsidRDefault="00EB63B3">
      <w:pPr>
        <w:ind w:firstLineChars="200" w:firstLine="640"/>
        <w:outlineLvl w:val="0"/>
        <w:rPr>
          <w:rFonts w:ascii="Times New Roman" w:hAnsi="Times New Roman"/>
        </w:rPr>
      </w:pPr>
      <w:r>
        <w:rPr>
          <w:rFonts w:ascii="黑体" w:eastAsia="黑体" w:hAnsi="黑体" w:cs="黑体" w:hint="eastAsia"/>
          <w:sz w:val="32"/>
          <w:szCs w:val="32"/>
        </w:rPr>
        <w:lastRenderedPageBreak/>
        <w:t>一、学位授权点基本情况</w:t>
      </w:r>
      <w:bookmarkEnd w:id="6"/>
      <w:bookmarkEnd w:id="7"/>
    </w:p>
    <w:p w:rsidR="0060305F" w:rsidRDefault="00EB63B3">
      <w:pPr>
        <w:pStyle w:val="2"/>
        <w:spacing w:line="520" w:lineRule="exact"/>
        <w:ind w:firstLineChars="200" w:firstLine="643"/>
        <w:jc w:val="both"/>
        <w:rPr>
          <w:rFonts w:ascii="楷体" w:eastAsia="楷体" w:hAnsi="楷体" w:cs="楷体"/>
          <w:sz w:val="32"/>
          <w:szCs w:val="32"/>
        </w:rPr>
      </w:pPr>
      <w:bookmarkStart w:id="8" w:name="_Toc5844"/>
      <w:bookmarkStart w:id="9" w:name="_Toc102656637"/>
      <w:r>
        <w:rPr>
          <w:rFonts w:ascii="楷体" w:eastAsia="楷体" w:hAnsi="楷体" w:cs="楷体" w:hint="eastAsia"/>
          <w:sz w:val="32"/>
          <w:szCs w:val="32"/>
        </w:rPr>
        <w:t>（一）基本概况</w:t>
      </w:r>
      <w:bookmarkEnd w:id="8"/>
      <w:bookmarkEnd w:id="9"/>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 xml:space="preserve">福建农林大学是国家农业农村部、林业和草原局与福建省政府共建大学，是福建省一流大学重点建设高校。1995 </w:t>
      </w:r>
      <w:proofErr w:type="gramStart"/>
      <w:r>
        <w:rPr>
          <w:rFonts w:ascii="仿宋" w:eastAsia="仿宋" w:hAnsi="仿宋" w:cs="仿宋" w:hint="eastAsia"/>
          <w:spacing w:val="-8"/>
          <w:sz w:val="32"/>
          <w:szCs w:val="32"/>
        </w:rPr>
        <w:t>年设土地资源</w:t>
      </w:r>
      <w:proofErr w:type="gramEnd"/>
      <w:r>
        <w:rPr>
          <w:rFonts w:ascii="仿宋" w:eastAsia="仿宋" w:hAnsi="仿宋" w:cs="仿宋" w:hint="eastAsia"/>
          <w:spacing w:val="-8"/>
          <w:sz w:val="32"/>
          <w:szCs w:val="32"/>
        </w:rPr>
        <w:t xml:space="preserve">管理本科专业，2000 </w:t>
      </w:r>
      <w:proofErr w:type="gramStart"/>
      <w:r>
        <w:rPr>
          <w:rFonts w:ascii="仿宋" w:eastAsia="仿宋" w:hAnsi="仿宋" w:cs="仿宋" w:hint="eastAsia"/>
          <w:spacing w:val="-8"/>
          <w:sz w:val="32"/>
          <w:szCs w:val="32"/>
        </w:rPr>
        <w:t>年设土地资源</w:t>
      </w:r>
      <w:proofErr w:type="gramEnd"/>
      <w:r>
        <w:rPr>
          <w:rFonts w:ascii="仿宋" w:eastAsia="仿宋" w:hAnsi="仿宋" w:cs="仿宋" w:hint="eastAsia"/>
          <w:spacing w:val="-8"/>
          <w:sz w:val="32"/>
          <w:szCs w:val="32"/>
        </w:rPr>
        <w:t xml:space="preserve">管理硕士点，2002年设行政管理、公共事业管理(含闽台班)本科专业，2005年设劳动与社会保障本科专业，2010年设 MPA 专业硕士学位点，2011年设公共管理一级学科硕士点，2013 </w:t>
      </w:r>
      <w:proofErr w:type="gramStart"/>
      <w:r>
        <w:rPr>
          <w:rFonts w:ascii="仿宋" w:eastAsia="仿宋" w:hAnsi="仿宋" w:cs="仿宋" w:hint="eastAsia"/>
          <w:spacing w:val="-8"/>
          <w:sz w:val="32"/>
          <w:szCs w:val="32"/>
        </w:rPr>
        <w:t>年设农村</w:t>
      </w:r>
      <w:proofErr w:type="gramEnd"/>
      <w:r>
        <w:rPr>
          <w:rFonts w:ascii="仿宋" w:eastAsia="仿宋" w:hAnsi="仿宋" w:cs="仿宋" w:hint="eastAsia"/>
          <w:spacing w:val="-8"/>
          <w:sz w:val="32"/>
          <w:szCs w:val="32"/>
        </w:rPr>
        <w:t>社会管理二级学科博士点。2012福建农林大学是农业农村部、国家林业和草原局与福建省政府共建大学，是福建省一流大学重点建设高校。1995年设土地资源管理本科专业，2000年设土地资源管理硕士点，2002年设行政管理、公共事业管理(含闽台班)本科专业，2005年设劳动与社会保障本科专业，2010年设 MPA 专业硕士学位点，2011年设公共管理一级学科硕士点，2013年</w:t>
      </w:r>
      <w:proofErr w:type="gramStart"/>
      <w:r>
        <w:rPr>
          <w:rFonts w:ascii="仿宋" w:eastAsia="仿宋" w:hAnsi="仿宋" w:cs="仿宋" w:hint="eastAsia"/>
          <w:spacing w:val="-8"/>
          <w:sz w:val="32"/>
          <w:szCs w:val="32"/>
        </w:rPr>
        <w:t>设农村</w:t>
      </w:r>
      <w:proofErr w:type="gramEnd"/>
      <w:r>
        <w:rPr>
          <w:rFonts w:ascii="仿宋" w:eastAsia="仿宋" w:hAnsi="仿宋" w:cs="仿宋" w:hint="eastAsia"/>
          <w:spacing w:val="-8"/>
          <w:sz w:val="32"/>
          <w:szCs w:val="32"/>
        </w:rPr>
        <w:t>社会管理二级学科博士点。2012年成为福建省级重点学科，2017年入选福建省高原学科，在全国第四轮学科评估中，进入了全国前50%（C+）。现已形成行政管理（农村社会管理）、公共政策、土地资源管理、社会保障、闽台基</w:t>
      </w:r>
      <w:proofErr w:type="gramStart"/>
      <w:r>
        <w:rPr>
          <w:rFonts w:ascii="仿宋" w:eastAsia="仿宋" w:hAnsi="仿宋" w:cs="仿宋" w:hint="eastAsia"/>
          <w:spacing w:val="-8"/>
          <w:sz w:val="32"/>
          <w:szCs w:val="32"/>
        </w:rPr>
        <w:t>层治理</w:t>
      </w:r>
      <w:proofErr w:type="gramEnd"/>
      <w:r>
        <w:rPr>
          <w:rFonts w:ascii="仿宋" w:eastAsia="仿宋" w:hAnsi="仿宋" w:cs="仿宋" w:hint="eastAsia"/>
          <w:spacing w:val="-8"/>
          <w:sz w:val="32"/>
          <w:szCs w:val="32"/>
        </w:rPr>
        <w:t>等学科方向和完整的“本-硕-博”一贯制的人才培养学科体系。</w:t>
      </w:r>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拥有自然资源部东</w:t>
      </w:r>
      <w:r>
        <w:rPr>
          <w:rFonts w:ascii="仿宋" w:eastAsia="仿宋" w:hAnsi="仿宋" w:cs="仿宋"/>
          <w:spacing w:val="-8"/>
          <w:sz w:val="32"/>
          <w:szCs w:val="32"/>
        </w:rPr>
        <w:t>南生态脆弱区监测修复</w:t>
      </w:r>
      <w:r>
        <w:rPr>
          <w:rFonts w:ascii="仿宋" w:eastAsia="仿宋" w:hAnsi="仿宋" w:cs="仿宋" w:hint="eastAsia"/>
          <w:spacing w:val="-8"/>
          <w:sz w:val="32"/>
          <w:szCs w:val="32"/>
        </w:rPr>
        <w:t>工程技术</w:t>
      </w:r>
      <w:r>
        <w:rPr>
          <w:rFonts w:ascii="仿宋" w:eastAsia="仿宋" w:hAnsi="仿宋" w:cs="仿宋"/>
          <w:spacing w:val="-8"/>
          <w:sz w:val="32"/>
          <w:szCs w:val="32"/>
        </w:rPr>
        <w:t>创新</w:t>
      </w:r>
      <w:r>
        <w:rPr>
          <w:rFonts w:ascii="仿宋" w:eastAsia="仿宋" w:hAnsi="仿宋" w:cs="仿宋" w:hint="eastAsia"/>
          <w:spacing w:val="-8"/>
          <w:sz w:val="32"/>
          <w:szCs w:val="32"/>
        </w:rPr>
        <w:t>中心、全国公共管理案例中心福州分中心、福建省研究生创新教育基地、省级案例库、省高端智库、省高校特色新型智库、省社会科学研究基地、省高校人文社科研究基地等10个教学科研平台，有省级硕士研究生导师团队3支。相关支撑学科有：农林经济管理一级学科博士点、生态学一级学科博士点、马克思主义中国化一级学科硕士点、法律硕士专业学位点。</w:t>
      </w:r>
    </w:p>
    <w:p w:rsidR="0060305F" w:rsidRDefault="00EB63B3">
      <w:pPr>
        <w:spacing w:before="47" w:line="4201" w:lineRule="exact"/>
        <w:ind w:firstLine="16"/>
        <w:textAlignment w:val="center"/>
        <w:rPr>
          <w:rFonts w:ascii="Times New Roman" w:hAnsi="Times New Roman"/>
        </w:rPr>
      </w:pPr>
      <w:r>
        <w:rPr>
          <w:rFonts w:ascii="Times New Roman" w:hAnsi="Times New Roman"/>
          <w:noProof/>
        </w:rPr>
        <w:lastRenderedPageBreak/>
        <w:drawing>
          <wp:inline distT="0" distB="0" distL="0" distR="0">
            <wp:extent cx="5320665" cy="2519680"/>
            <wp:effectExtent l="0" t="0" r="13335" b="1397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11"/>
                    <a:stretch>
                      <a:fillRect/>
                    </a:stretch>
                  </pic:blipFill>
                  <pic:spPr>
                    <a:xfrm>
                      <a:off x="0" y="0"/>
                      <a:ext cx="5321045" cy="2519680"/>
                    </a:xfrm>
                    <a:prstGeom prst="rect">
                      <a:avLst/>
                    </a:prstGeom>
                  </pic:spPr>
                </pic:pic>
              </a:graphicData>
            </a:graphic>
          </wp:inline>
        </w:drawing>
      </w:r>
    </w:p>
    <w:p w:rsidR="0060305F" w:rsidRDefault="0060305F">
      <w:pPr>
        <w:spacing w:line="290" w:lineRule="auto"/>
        <w:rPr>
          <w:rFonts w:ascii="Times New Roman" w:hAnsi="Times New Roman"/>
        </w:rPr>
      </w:pPr>
    </w:p>
    <w:p w:rsidR="0060305F" w:rsidRDefault="00EB63B3">
      <w:pPr>
        <w:spacing w:line="290" w:lineRule="auto"/>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图</w:t>
      </w:r>
      <w:r>
        <w:rPr>
          <w:rFonts w:ascii="Times New Roman" w:eastAsia="宋体" w:hAnsi="Times New Roman" w:cs="宋体" w:hint="eastAsia"/>
          <w:b/>
          <w:bCs/>
          <w:sz w:val="24"/>
          <w:szCs w:val="24"/>
        </w:rPr>
        <w:t xml:space="preserve"> 1 </w:t>
      </w:r>
      <w:r>
        <w:rPr>
          <w:rFonts w:ascii="Times New Roman" w:eastAsia="宋体" w:hAnsi="Times New Roman" w:cs="宋体" w:hint="eastAsia"/>
          <w:b/>
          <w:bCs/>
          <w:sz w:val="24"/>
          <w:szCs w:val="24"/>
        </w:rPr>
        <w:t>公共管理学科发展历程</w:t>
      </w:r>
    </w:p>
    <w:p w:rsidR="0060305F" w:rsidRDefault="00EB63B3">
      <w:pPr>
        <w:pStyle w:val="2"/>
        <w:spacing w:line="520" w:lineRule="exact"/>
        <w:ind w:firstLineChars="200" w:firstLine="643"/>
        <w:jc w:val="both"/>
        <w:rPr>
          <w:rFonts w:ascii="楷体" w:eastAsia="楷体" w:hAnsi="楷体" w:cs="楷体"/>
          <w:sz w:val="32"/>
          <w:szCs w:val="32"/>
        </w:rPr>
      </w:pPr>
      <w:bookmarkStart w:id="10" w:name="_Toc102656638"/>
      <w:bookmarkStart w:id="11" w:name="_Toc19891"/>
      <w:r>
        <w:rPr>
          <w:rFonts w:ascii="楷体" w:eastAsia="楷体" w:hAnsi="楷体" w:cs="楷体" w:hint="eastAsia"/>
          <w:sz w:val="32"/>
          <w:szCs w:val="32"/>
        </w:rPr>
        <w:t>（二）目标与标准</w:t>
      </w:r>
      <w:bookmarkEnd w:id="10"/>
      <w:bookmarkEnd w:id="11"/>
    </w:p>
    <w:p w:rsidR="0060305F" w:rsidRDefault="00EB63B3">
      <w:pPr>
        <w:pStyle w:val="3"/>
        <w:spacing w:before="0" w:afterLines="50" w:after="120" w:line="520" w:lineRule="exact"/>
        <w:ind w:firstLineChars="200" w:firstLine="643"/>
        <w:rPr>
          <w:rFonts w:ascii="仿宋" w:eastAsia="仿宋" w:hAnsi="仿宋" w:cs="仿宋"/>
          <w:sz w:val="32"/>
        </w:rPr>
      </w:pPr>
      <w:bookmarkStart w:id="12" w:name="_Toc17429"/>
      <w:bookmarkStart w:id="13" w:name="_Toc102656639"/>
      <w:r>
        <w:rPr>
          <w:rFonts w:ascii="仿宋" w:eastAsia="仿宋" w:hAnsi="仿宋" w:cs="仿宋" w:hint="eastAsia"/>
          <w:sz w:val="32"/>
        </w:rPr>
        <w:t>1.</w:t>
      </w:r>
      <w:r>
        <w:rPr>
          <w:rFonts w:ascii="仿宋" w:eastAsia="仿宋" w:hAnsi="仿宋" w:cs="仿宋" w:hint="eastAsia"/>
          <w:sz w:val="32"/>
          <w:lang w:val="zh-CN"/>
        </w:rPr>
        <w:t>培养目标</w:t>
      </w:r>
      <w:bookmarkEnd w:id="12"/>
      <w:bookmarkEnd w:id="13"/>
    </w:p>
    <w:p w:rsidR="0060305F" w:rsidRDefault="00EB63B3">
      <w:pPr>
        <w:spacing w:line="500" w:lineRule="exact"/>
        <w:ind w:firstLineChars="200" w:firstLine="608"/>
        <w:rPr>
          <w:rFonts w:ascii="仿宋" w:eastAsia="仿宋" w:hAnsi="仿宋" w:cs="仿宋"/>
          <w:spacing w:val="-8"/>
          <w:sz w:val="32"/>
          <w:szCs w:val="32"/>
        </w:rPr>
      </w:pPr>
      <w:r>
        <w:rPr>
          <w:rFonts w:ascii="仿宋" w:eastAsia="仿宋" w:hAnsi="仿宋" w:cs="仿宋" w:hint="eastAsia"/>
          <w:spacing w:val="-8"/>
          <w:sz w:val="32"/>
          <w:szCs w:val="32"/>
        </w:rPr>
        <w:t>以习近平新时代中国特色社会主义思想为指导，培养具备良好的政治思想素质和职业道德素养，掌握系统的公共管理理论、知识和方法，具备从事公共管理与公共政策分析的能力，能够适应推进国家治理体系和治理能力现代化的目标与要求，综合运用管理、政治、经济、法律、现代科技等方面的知识以及定性和定量分析方法解决公共管理工作实际问题的德才兼备、身心健康的高层次、应用型、复合型公共管理专门人才。</w:t>
      </w:r>
    </w:p>
    <w:p w:rsidR="0060305F" w:rsidRDefault="00EB63B3">
      <w:pPr>
        <w:pStyle w:val="3"/>
        <w:spacing w:before="0" w:afterLines="50" w:after="120" w:line="520" w:lineRule="exact"/>
        <w:ind w:firstLineChars="200" w:firstLine="643"/>
        <w:rPr>
          <w:rFonts w:ascii="仿宋" w:eastAsia="仿宋" w:hAnsi="仿宋" w:cs="仿宋"/>
          <w:sz w:val="32"/>
        </w:rPr>
      </w:pPr>
      <w:bookmarkStart w:id="14" w:name="_Toc10082"/>
      <w:bookmarkStart w:id="15" w:name="_Toc102656640"/>
      <w:r>
        <w:rPr>
          <w:rFonts w:ascii="仿宋" w:eastAsia="仿宋" w:hAnsi="仿宋" w:cs="仿宋" w:hint="eastAsia"/>
          <w:sz w:val="32"/>
          <w:lang w:val="zh-CN"/>
        </w:rPr>
        <w:t>2.学位标准</w:t>
      </w:r>
      <w:bookmarkEnd w:id="14"/>
      <w:bookmarkEnd w:id="15"/>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根据国务院学位委员会学科评议组公共管理学位授权审核申请基本条件，制定《福建农林大学公共管理一级学科硕士点学位授予标准》</w:t>
      </w:r>
      <w:r>
        <w:rPr>
          <w:rFonts w:ascii="仿宋" w:eastAsia="仿宋" w:hAnsi="仿宋" w:cs="仿宋"/>
          <w:spacing w:val="-8"/>
          <w:sz w:val="32"/>
          <w:szCs w:val="32"/>
        </w:rPr>
        <w:t>、</w:t>
      </w:r>
      <w:r>
        <w:rPr>
          <w:rFonts w:ascii="仿宋" w:eastAsia="仿宋" w:hAnsi="仿宋" w:cs="仿宋" w:hint="eastAsia"/>
          <w:spacing w:val="-8"/>
          <w:sz w:val="32"/>
          <w:szCs w:val="32"/>
        </w:rPr>
        <w:t>福建农林大学公共管理学术学位硕士研究生培养方案</w:t>
      </w:r>
      <w:proofErr w:type="gramStart"/>
      <w:r>
        <w:rPr>
          <w:rFonts w:ascii="仿宋" w:eastAsia="仿宋" w:hAnsi="仿宋" w:cs="仿宋" w:hint="eastAsia"/>
          <w:spacing w:val="-8"/>
          <w:sz w:val="32"/>
          <w:szCs w:val="32"/>
        </w:rPr>
        <w:t>》</w:t>
      </w:r>
      <w:proofErr w:type="gramEnd"/>
      <w:r>
        <w:rPr>
          <w:rFonts w:ascii="仿宋" w:eastAsia="仿宋" w:hAnsi="仿宋" w:cs="仿宋" w:hint="eastAsia"/>
          <w:spacing w:val="-8"/>
          <w:sz w:val="32"/>
          <w:szCs w:val="32"/>
        </w:rPr>
        <w:t>，对本学位点硕士生应具备的基本素质、基本知识、基本学术能力及学位论文基本要求做出明确规定。凝练专业特色，强化导师队伍建设，在学制设置与学分要求、课程设置与培养方向、课程教学、论文开题、中期考核、论文撰写、学位授予等各个</w:t>
      </w:r>
      <w:r>
        <w:rPr>
          <w:rFonts w:ascii="仿宋" w:eastAsia="仿宋" w:hAnsi="仿宋" w:cs="仿宋" w:hint="eastAsia"/>
          <w:spacing w:val="-8"/>
          <w:sz w:val="32"/>
          <w:szCs w:val="32"/>
        </w:rPr>
        <w:lastRenderedPageBreak/>
        <w:t>培养环节提出明确的标准。主要包括：（1）学制 3 年，学习年限 3-5 年；（2）实行学分制，总学分不少于</w:t>
      </w:r>
      <w:r>
        <w:rPr>
          <w:rFonts w:ascii="仿宋" w:eastAsia="仿宋" w:hAnsi="仿宋" w:cs="仿宋"/>
          <w:spacing w:val="-8"/>
          <w:sz w:val="32"/>
          <w:szCs w:val="32"/>
        </w:rPr>
        <w:t>37</w:t>
      </w:r>
      <w:r>
        <w:rPr>
          <w:rFonts w:ascii="仿宋" w:eastAsia="仿宋" w:hAnsi="仿宋" w:cs="仿宋" w:hint="eastAsia"/>
          <w:spacing w:val="-8"/>
          <w:sz w:val="32"/>
          <w:szCs w:val="32"/>
        </w:rPr>
        <w:t xml:space="preserve"> 学分， 其中课程学习不少于 </w:t>
      </w:r>
      <w:r>
        <w:rPr>
          <w:rFonts w:ascii="仿宋" w:eastAsia="仿宋" w:hAnsi="仿宋" w:cs="仿宋"/>
          <w:spacing w:val="-8"/>
          <w:sz w:val="32"/>
          <w:szCs w:val="32"/>
        </w:rPr>
        <w:t>32</w:t>
      </w:r>
      <w:r>
        <w:rPr>
          <w:rFonts w:ascii="仿宋" w:eastAsia="仿宋" w:hAnsi="仿宋" w:cs="仿宋" w:hint="eastAsia"/>
          <w:spacing w:val="-8"/>
          <w:sz w:val="32"/>
          <w:szCs w:val="32"/>
        </w:rPr>
        <w:t>学分， 培养环节不少于 5 学分（包括学术活动 3 学分、实践教育 2 学分）；（3）完成学位论文，通过论文评审和答辩；（4）在申请硕士学位授予前，科研业绩须达到本学位点的要求。具体须符合以下条件之一： ①学生以第一作者在大学学报或省级学术期刊公开发表 1 篇 4000 字以上的学术论文。 ②以学生为第一作者，或者导师为第一作者、学生为第二作者在核心期刊发表 1 篇学术论文。 ③以导师为第一作者，学生为第二或第三作者，在权威期刊发表 1 篇学术论文。 ④以导师为第一作者，学生为第二或第三作者，成果获省领导肯定性批示或被省级文件部分采用或入选教育部社科《成果要报》或省级优秀调研报告。 ⑤参加中国公共管理研究生案例大赛，获优秀奖，排名第一；获三等奖，排名前二；获二等奖，排名第三；获一等奖，排名前五。 ⑥撰写或参与撰写的案例入选中国专业学位教学案例中心公共管理案例库，排名前三。</w:t>
      </w:r>
    </w:p>
    <w:p w:rsidR="0060305F" w:rsidRDefault="00EB63B3">
      <w:pPr>
        <w:pStyle w:val="2"/>
        <w:spacing w:line="520" w:lineRule="exact"/>
        <w:ind w:firstLineChars="200" w:firstLine="643"/>
        <w:jc w:val="both"/>
        <w:rPr>
          <w:rFonts w:ascii="楷体" w:eastAsia="楷体" w:hAnsi="楷体" w:cs="楷体"/>
          <w:sz w:val="32"/>
          <w:szCs w:val="32"/>
        </w:rPr>
      </w:pPr>
      <w:bookmarkStart w:id="16" w:name="_Toc102656641"/>
      <w:bookmarkStart w:id="17" w:name="_Toc9170"/>
      <w:r>
        <w:rPr>
          <w:rFonts w:ascii="楷体" w:eastAsia="楷体" w:hAnsi="楷体" w:cs="楷体" w:hint="eastAsia"/>
          <w:sz w:val="32"/>
          <w:szCs w:val="32"/>
        </w:rPr>
        <w:t>（三）基本条件</w:t>
      </w:r>
      <w:bookmarkEnd w:id="16"/>
      <w:bookmarkEnd w:id="17"/>
    </w:p>
    <w:p w:rsidR="0060305F" w:rsidRDefault="00EB63B3">
      <w:pPr>
        <w:pStyle w:val="3"/>
        <w:spacing w:before="0" w:afterLines="50" w:after="120" w:line="520" w:lineRule="exact"/>
        <w:ind w:firstLineChars="200" w:firstLine="643"/>
        <w:rPr>
          <w:rFonts w:ascii="仿宋" w:eastAsia="仿宋" w:hAnsi="仿宋" w:cs="仿宋"/>
          <w:sz w:val="32"/>
        </w:rPr>
      </w:pPr>
      <w:bookmarkStart w:id="18" w:name="_Toc3690"/>
      <w:bookmarkStart w:id="19" w:name="_Toc102656642"/>
      <w:r>
        <w:rPr>
          <w:rFonts w:ascii="仿宋" w:eastAsia="仿宋" w:hAnsi="仿宋" w:cs="仿宋" w:hint="eastAsia"/>
          <w:sz w:val="32"/>
        </w:rPr>
        <w:t>1.培养方向</w:t>
      </w:r>
      <w:bookmarkEnd w:id="18"/>
      <w:bookmarkEnd w:id="19"/>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坚持中国特色社会主义办学方向，以立德树人、服务社会为己任，主动融入党和国家、区域发展的重大战略部署，围绕国家治理体系和治理能力现代化的需求，紧密结合学校农林学科专业优势以及对台区位优势，坚持扎根基层、政学</w:t>
      </w:r>
      <w:proofErr w:type="gramStart"/>
      <w:r>
        <w:rPr>
          <w:rFonts w:ascii="仿宋" w:eastAsia="仿宋" w:hAnsi="仿宋" w:cs="仿宋" w:hint="eastAsia"/>
          <w:spacing w:val="-8"/>
          <w:sz w:val="32"/>
          <w:szCs w:val="32"/>
        </w:rPr>
        <w:t>研</w:t>
      </w:r>
      <w:proofErr w:type="gramEnd"/>
      <w:r>
        <w:rPr>
          <w:rFonts w:ascii="仿宋" w:eastAsia="仿宋" w:hAnsi="仿宋" w:cs="仿宋" w:hint="eastAsia"/>
          <w:spacing w:val="-8"/>
          <w:sz w:val="32"/>
          <w:szCs w:val="32"/>
        </w:rPr>
        <w:t>紧密结合、多学科协同推进，</w:t>
      </w:r>
      <w:r w:rsidRPr="0043137B">
        <w:rPr>
          <w:rFonts w:ascii="仿宋" w:eastAsia="仿宋" w:hAnsi="仿宋" w:cs="仿宋" w:hint="eastAsia"/>
          <w:spacing w:val="-8"/>
          <w:sz w:val="32"/>
          <w:szCs w:val="32"/>
        </w:rPr>
        <w:t>开设</w:t>
      </w:r>
      <w:r w:rsidR="0043137B">
        <w:rPr>
          <w:rFonts w:ascii="仿宋" w:eastAsia="仿宋" w:hAnsi="仿宋" w:cs="仿宋" w:hint="eastAsia"/>
          <w:spacing w:val="-8"/>
          <w:sz w:val="32"/>
          <w:szCs w:val="32"/>
        </w:rPr>
        <w:t>了</w:t>
      </w:r>
      <w:r w:rsidRPr="0043137B">
        <w:rPr>
          <w:rFonts w:ascii="仿宋" w:eastAsia="仿宋" w:hAnsi="仿宋" w:cs="仿宋" w:hint="eastAsia"/>
          <w:spacing w:val="-8"/>
          <w:sz w:val="32"/>
          <w:szCs w:val="32"/>
        </w:rPr>
        <w:t>行政管理、公共政策、社会保障、土</w:t>
      </w:r>
      <w:r w:rsidRPr="0043137B">
        <w:rPr>
          <w:rFonts w:ascii="仿宋" w:eastAsia="仿宋" w:hAnsi="仿宋" w:cs="仿宋"/>
          <w:spacing w:val="-8"/>
          <w:sz w:val="32"/>
          <w:szCs w:val="32"/>
        </w:rPr>
        <w:t>地资源管理</w:t>
      </w:r>
      <w:r w:rsidR="0043137B" w:rsidRPr="0043137B">
        <w:rPr>
          <w:rFonts w:ascii="仿宋" w:eastAsia="仿宋" w:hAnsi="仿宋" w:cs="仿宋" w:hint="eastAsia"/>
          <w:spacing w:val="-8"/>
          <w:sz w:val="32"/>
          <w:szCs w:val="32"/>
        </w:rPr>
        <w:t>、</w:t>
      </w:r>
      <w:r w:rsidR="0043137B" w:rsidRPr="0043137B">
        <w:rPr>
          <w:rFonts w:ascii="仿宋" w:eastAsia="仿宋" w:hAnsi="仿宋" w:cs="仿宋"/>
          <w:spacing w:val="-8"/>
          <w:sz w:val="32"/>
          <w:szCs w:val="32"/>
        </w:rPr>
        <w:t>两</w:t>
      </w:r>
      <w:r w:rsidR="0043137B" w:rsidRPr="0043137B">
        <w:rPr>
          <w:rFonts w:ascii="仿宋" w:eastAsia="仿宋" w:hAnsi="仿宋" w:cs="仿宋" w:hint="eastAsia"/>
          <w:spacing w:val="-8"/>
          <w:sz w:val="32"/>
          <w:szCs w:val="32"/>
        </w:rPr>
        <w:t>岸</w:t>
      </w:r>
      <w:r w:rsidR="0043137B" w:rsidRPr="0043137B">
        <w:rPr>
          <w:rFonts w:ascii="仿宋" w:eastAsia="仿宋" w:hAnsi="仿宋" w:cs="仿宋"/>
          <w:spacing w:val="-8"/>
          <w:sz w:val="32"/>
          <w:szCs w:val="32"/>
        </w:rPr>
        <w:t>公共治理、公共安全与应急管理</w:t>
      </w:r>
      <w:r w:rsidR="00E46B7D">
        <w:rPr>
          <w:rFonts w:ascii="仿宋" w:eastAsia="仿宋" w:hAnsi="仿宋" w:cs="仿宋" w:hint="eastAsia"/>
          <w:spacing w:val="-8"/>
          <w:sz w:val="32"/>
          <w:szCs w:val="32"/>
        </w:rPr>
        <w:t>等</w:t>
      </w:r>
      <w:r w:rsidR="00E46B7D">
        <w:rPr>
          <w:rFonts w:ascii="仿宋" w:eastAsia="仿宋" w:hAnsi="仿宋" w:cs="仿宋"/>
          <w:spacing w:val="-8"/>
          <w:sz w:val="32"/>
          <w:szCs w:val="32"/>
        </w:rPr>
        <w:t>6</w:t>
      </w:r>
      <w:r w:rsidRPr="0043137B">
        <w:rPr>
          <w:rFonts w:ascii="仿宋" w:eastAsia="仿宋" w:hAnsi="仿宋" w:cs="仿宋" w:hint="eastAsia"/>
          <w:spacing w:val="-8"/>
          <w:sz w:val="32"/>
          <w:szCs w:val="32"/>
        </w:rPr>
        <w:t>个培养方向。</w:t>
      </w:r>
    </w:p>
    <w:p w:rsidR="0060305F" w:rsidRDefault="00EB63B3">
      <w:pPr>
        <w:pStyle w:val="3"/>
        <w:spacing w:before="0" w:afterLines="50" w:after="120" w:line="520" w:lineRule="exact"/>
        <w:ind w:firstLineChars="200" w:firstLine="643"/>
        <w:rPr>
          <w:rFonts w:ascii="仿宋" w:eastAsia="仿宋" w:hAnsi="仿宋" w:cs="仿宋"/>
          <w:sz w:val="32"/>
        </w:rPr>
      </w:pPr>
      <w:bookmarkStart w:id="20" w:name="_Toc102656643"/>
      <w:bookmarkStart w:id="21" w:name="_Toc30233"/>
      <w:r>
        <w:rPr>
          <w:rFonts w:ascii="仿宋" w:eastAsia="仿宋" w:hAnsi="仿宋" w:cs="仿宋" w:hint="eastAsia"/>
          <w:sz w:val="32"/>
        </w:rPr>
        <w:lastRenderedPageBreak/>
        <w:t>2.师资队伍</w:t>
      </w:r>
      <w:bookmarkEnd w:id="20"/>
      <w:bookmarkEnd w:id="21"/>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围绕学科重点发展方向和人才培养目标，加大师资引进力度，</w:t>
      </w:r>
      <w:proofErr w:type="gramStart"/>
      <w:r>
        <w:rPr>
          <w:rFonts w:ascii="仿宋" w:eastAsia="仿宋" w:hAnsi="仿宋" w:cs="仿宋" w:hint="eastAsia"/>
          <w:spacing w:val="-8"/>
          <w:sz w:val="32"/>
          <w:szCs w:val="32"/>
        </w:rPr>
        <w:t>完善引</w:t>
      </w:r>
      <w:proofErr w:type="gramEnd"/>
      <w:r>
        <w:rPr>
          <w:rFonts w:ascii="仿宋" w:eastAsia="仿宋" w:hAnsi="仿宋" w:cs="仿宋" w:hint="eastAsia"/>
          <w:spacing w:val="-8"/>
          <w:sz w:val="32"/>
          <w:szCs w:val="32"/>
        </w:rPr>
        <w:t xml:space="preserve">人用人体制机制，优化人才成长环境，逐步建成一支高水平的师资队伍。 </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（1）师资队伍规模适中、结构合理。</w:t>
      </w:r>
      <w:r>
        <w:rPr>
          <w:rFonts w:ascii="仿宋" w:eastAsia="仿宋" w:hAnsi="仿宋" w:cs="仿宋" w:hint="eastAsia"/>
          <w:spacing w:val="-8"/>
          <w:sz w:val="32"/>
          <w:szCs w:val="32"/>
        </w:rPr>
        <w:t xml:space="preserve">学科有专任教师 </w:t>
      </w:r>
      <w:r>
        <w:rPr>
          <w:rFonts w:ascii="仿宋" w:eastAsia="仿宋" w:hAnsi="仿宋" w:cs="仿宋"/>
          <w:spacing w:val="-8"/>
          <w:sz w:val="32"/>
          <w:szCs w:val="32"/>
        </w:rPr>
        <w:t>46</w:t>
      </w:r>
      <w:r>
        <w:rPr>
          <w:rFonts w:ascii="仿宋" w:eastAsia="仿宋" w:hAnsi="仿宋" w:cs="仿宋" w:hint="eastAsia"/>
          <w:spacing w:val="-8"/>
          <w:sz w:val="32"/>
          <w:szCs w:val="32"/>
        </w:rPr>
        <w:t>人，其中高级职称占比</w:t>
      </w:r>
      <w:r>
        <w:rPr>
          <w:rFonts w:ascii="仿宋" w:eastAsia="仿宋" w:hAnsi="仿宋" w:cs="仿宋"/>
          <w:spacing w:val="-8"/>
          <w:sz w:val="32"/>
          <w:szCs w:val="32"/>
        </w:rPr>
        <w:t>60.87</w:t>
      </w:r>
      <w:r>
        <w:rPr>
          <w:rFonts w:ascii="仿宋" w:eastAsia="仿宋" w:hAnsi="仿宋" w:cs="仿宋" w:hint="eastAsia"/>
          <w:spacing w:val="-8"/>
          <w:sz w:val="32"/>
          <w:szCs w:val="32"/>
        </w:rPr>
        <w:t>%；博士生导师</w:t>
      </w:r>
      <w:r>
        <w:rPr>
          <w:rFonts w:ascii="仿宋" w:eastAsia="仿宋" w:hAnsi="仿宋" w:cs="仿宋"/>
          <w:spacing w:val="-8"/>
          <w:sz w:val="32"/>
          <w:szCs w:val="32"/>
        </w:rPr>
        <w:t>6</w:t>
      </w:r>
      <w:r>
        <w:rPr>
          <w:rFonts w:ascii="仿宋" w:eastAsia="仿宋" w:hAnsi="仿宋" w:cs="仿宋" w:hint="eastAsia"/>
          <w:spacing w:val="-8"/>
          <w:sz w:val="32"/>
          <w:szCs w:val="32"/>
        </w:rPr>
        <w:t>名，硕士生导师</w:t>
      </w:r>
      <w:r>
        <w:rPr>
          <w:rFonts w:ascii="仿宋" w:eastAsia="仿宋" w:hAnsi="仿宋" w:cs="仿宋"/>
          <w:spacing w:val="-8"/>
          <w:sz w:val="32"/>
          <w:szCs w:val="32"/>
        </w:rPr>
        <w:t>34</w:t>
      </w:r>
      <w:r>
        <w:rPr>
          <w:rFonts w:ascii="仿宋" w:eastAsia="仿宋" w:hAnsi="仿宋" w:cs="仿宋" w:hint="eastAsia"/>
          <w:spacing w:val="-8"/>
          <w:sz w:val="32"/>
          <w:szCs w:val="32"/>
        </w:rPr>
        <w:t>名；拥有博士学位的教师占</w:t>
      </w:r>
      <w:r>
        <w:rPr>
          <w:rFonts w:ascii="仿宋" w:eastAsia="仿宋" w:hAnsi="仿宋" w:cs="仿宋"/>
          <w:spacing w:val="-8"/>
          <w:sz w:val="32"/>
          <w:szCs w:val="32"/>
        </w:rPr>
        <w:t>78.3</w:t>
      </w:r>
      <w:r>
        <w:rPr>
          <w:rFonts w:ascii="仿宋" w:eastAsia="仿宋" w:hAnsi="仿宋" w:cs="仿宋" w:hint="eastAsia"/>
          <w:spacing w:val="-8"/>
          <w:sz w:val="32"/>
          <w:szCs w:val="32"/>
        </w:rPr>
        <w:t>%；有海外经历教师占48%。最高学位非本单位人数占5</w:t>
      </w:r>
      <w:r>
        <w:rPr>
          <w:rFonts w:ascii="仿宋" w:eastAsia="仿宋" w:hAnsi="仿宋" w:cs="仿宋"/>
          <w:spacing w:val="-8"/>
          <w:sz w:val="32"/>
          <w:szCs w:val="32"/>
        </w:rPr>
        <w:t>2.17</w:t>
      </w:r>
      <w:r>
        <w:rPr>
          <w:rFonts w:ascii="仿宋" w:eastAsia="仿宋" w:hAnsi="仿宋" w:cs="仿宋" w:hint="eastAsia"/>
          <w:spacing w:val="-8"/>
          <w:sz w:val="32"/>
          <w:szCs w:val="32"/>
        </w:rPr>
        <w:t>％，主要毕业于北京大学、中国人民大学、浙江大学、东北大学、中国农业大学、厦门大学、南京农业大学、新加坡南洋理工大学等知名院校</w:t>
      </w:r>
      <w:r w:rsidR="0043137B">
        <w:rPr>
          <w:rFonts w:ascii="仿宋" w:eastAsia="仿宋" w:hAnsi="仿宋" w:cs="仿宋" w:hint="eastAsia"/>
          <w:spacing w:val="-8"/>
          <w:sz w:val="32"/>
          <w:szCs w:val="32"/>
        </w:rPr>
        <w:t>。</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（2）师资层次不断提升。</w:t>
      </w:r>
      <w:r>
        <w:rPr>
          <w:rFonts w:ascii="仿宋" w:eastAsia="仿宋" w:hAnsi="仿宋" w:cs="仿宋" w:hint="eastAsia"/>
          <w:spacing w:val="-8"/>
          <w:sz w:val="32"/>
          <w:szCs w:val="32"/>
        </w:rPr>
        <w:t>注重教师成长，努力培养高层次人才。学科有享受国务院特殊津贴专家1人，中宣部高端智库专家2人，教育部“智慧教学之星”1人，福建</w:t>
      </w:r>
      <w:r>
        <w:rPr>
          <w:rFonts w:ascii="仿宋" w:eastAsia="仿宋" w:hAnsi="仿宋" w:cs="仿宋" w:hint="eastAsia"/>
          <w:color w:val="000000" w:themeColor="text1"/>
          <w:sz w:val="32"/>
          <w:szCs w:val="32"/>
        </w:rPr>
        <w:t>省“百千万工程”人才人选1人、省B类人才1人、C类人才2人、</w:t>
      </w:r>
      <w:proofErr w:type="gramStart"/>
      <w:r>
        <w:rPr>
          <w:rFonts w:ascii="仿宋" w:eastAsia="仿宋" w:hAnsi="仿宋" w:cs="仿宋" w:hint="eastAsia"/>
          <w:spacing w:val="-8"/>
          <w:sz w:val="32"/>
          <w:szCs w:val="32"/>
        </w:rPr>
        <w:t>省教学</w:t>
      </w:r>
      <w:proofErr w:type="gramEnd"/>
      <w:r>
        <w:rPr>
          <w:rFonts w:ascii="仿宋" w:eastAsia="仿宋" w:hAnsi="仿宋" w:cs="仿宋" w:hint="eastAsia"/>
          <w:spacing w:val="-8"/>
          <w:sz w:val="32"/>
          <w:szCs w:val="32"/>
        </w:rPr>
        <w:t>名师1人、省高校青年拔尖人才1人、选“福建省高等学校新世纪优秀人才支持计划”8人、入选“福建省高校杰出青年科研人才培育计划”8人，一批中青年教师成为学科骨干力量。</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（3）兼职师资队伍与专任教师队伍相互补充与配合，实现优势互补。</w:t>
      </w:r>
      <w:r>
        <w:rPr>
          <w:rFonts w:ascii="仿宋" w:eastAsia="仿宋" w:hAnsi="仿宋" w:cs="仿宋" w:hint="eastAsia"/>
          <w:spacing w:val="-8"/>
          <w:sz w:val="32"/>
          <w:szCs w:val="32"/>
        </w:rPr>
        <w:t>根据公共管理研究及人才培养须紧密结合实践的特点，组建</w:t>
      </w:r>
      <w:proofErr w:type="gramStart"/>
      <w:r>
        <w:rPr>
          <w:rFonts w:ascii="仿宋" w:eastAsia="仿宋" w:hAnsi="仿宋" w:cs="仿宋" w:hint="eastAsia"/>
          <w:spacing w:val="-8"/>
          <w:sz w:val="32"/>
          <w:szCs w:val="32"/>
        </w:rPr>
        <w:t>一</w:t>
      </w:r>
      <w:proofErr w:type="gramEnd"/>
      <w:r>
        <w:rPr>
          <w:rFonts w:ascii="仿宋" w:eastAsia="仿宋" w:hAnsi="仿宋" w:cs="仿宋" w:hint="eastAsia"/>
          <w:spacing w:val="-8"/>
          <w:sz w:val="32"/>
          <w:szCs w:val="32"/>
        </w:rPr>
        <w:t>支由金山学者讲座教授、兼职 教授、校外研究生导师、课程教师组成的校外师资队伍，与专任教师实现优势互补。采取协议工资制引进美国德州农工大学、 复旦大学高层次人才和等柔性引进人员 5 名。</w:t>
      </w:r>
    </w:p>
    <w:p w:rsidR="0060305F" w:rsidRDefault="00EB63B3">
      <w:pPr>
        <w:pStyle w:val="3"/>
        <w:spacing w:before="0" w:afterLines="50" w:after="120" w:line="520" w:lineRule="exact"/>
        <w:ind w:firstLineChars="200" w:firstLine="643"/>
        <w:rPr>
          <w:rFonts w:ascii="仿宋" w:eastAsia="仿宋" w:hAnsi="仿宋" w:cs="仿宋"/>
          <w:sz w:val="32"/>
          <w:lang w:val="zh-CN"/>
        </w:rPr>
      </w:pPr>
      <w:bookmarkStart w:id="22" w:name="_Toc102656644"/>
      <w:bookmarkStart w:id="23" w:name="_Toc13077"/>
      <w:r>
        <w:rPr>
          <w:rFonts w:ascii="仿宋" w:eastAsia="仿宋" w:hAnsi="仿宋" w:cs="仿宋" w:hint="eastAsia"/>
          <w:sz w:val="32"/>
        </w:rPr>
        <w:t>3.</w:t>
      </w:r>
      <w:r>
        <w:rPr>
          <w:rFonts w:ascii="仿宋" w:eastAsia="仿宋" w:hAnsi="仿宋" w:cs="仿宋" w:hint="eastAsia"/>
          <w:sz w:val="32"/>
          <w:lang w:val="zh-CN"/>
        </w:rPr>
        <w:t>科学研究</w:t>
      </w:r>
      <w:bookmarkEnd w:id="22"/>
      <w:bookmarkEnd w:id="23"/>
    </w:p>
    <w:p w:rsidR="0060305F" w:rsidRDefault="00EB63B3">
      <w:pPr>
        <w:spacing w:line="520" w:lineRule="exact"/>
        <w:ind w:firstLineChars="200" w:firstLine="611"/>
        <w:jc w:val="both"/>
        <w:rPr>
          <w:rFonts w:ascii="仿宋" w:eastAsia="仿宋" w:hAnsi="仿宋" w:cs="Times New Roman"/>
          <w:sz w:val="32"/>
          <w:szCs w:val="32"/>
        </w:rPr>
      </w:pPr>
      <w:r>
        <w:rPr>
          <w:rFonts w:ascii="仿宋" w:eastAsia="仿宋" w:hAnsi="仿宋" w:cs="仿宋" w:hint="eastAsia"/>
          <w:b/>
          <w:bCs/>
          <w:spacing w:val="-8"/>
          <w:sz w:val="32"/>
          <w:szCs w:val="32"/>
        </w:rPr>
        <w:t>（1）科研项目量质齐升。</w:t>
      </w:r>
      <w:r>
        <w:rPr>
          <w:rFonts w:ascii="仿宋" w:eastAsia="仿宋" w:hAnsi="仿宋" w:cs="Times New Roman" w:hint="eastAsia"/>
          <w:sz w:val="32"/>
          <w:szCs w:val="32"/>
        </w:rPr>
        <w:t>新增1</w:t>
      </w:r>
      <w:r>
        <w:rPr>
          <w:rFonts w:ascii="仿宋" w:eastAsia="仿宋" w:hAnsi="仿宋" w:cs="Times New Roman"/>
          <w:sz w:val="32"/>
          <w:szCs w:val="32"/>
        </w:rPr>
        <w:t>9</w:t>
      </w:r>
      <w:r>
        <w:rPr>
          <w:rFonts w:ascii="仿宋" w:eastAsia="仿宋" w:hAnsi="仿宋" w:cs="Times New Roman" w:hint="eastAsia"/>
          <w:sz w:val="32"/>
          <w:szCs w:val="32"/>
        </w:rPr>
        <w:t>个省部级以上项目，其中国家社科基金1项、教育部人文社科规划项目1项、省社科重</w:t>
      </w:r>
      <w:r>
        <w:rPr>
          <w:rFonts w:ascii="仿宋" w:eastAsia="仿宋" w:hAnsi="仿宋" w:cs="Times New Roman" w:hint="eastAsia"/>
          <w:sz w:val="32"/>
          <w:szCs w:val="32"/>
        </w:rPr>
        <w:lastRenderedPageBreak/>
        <w:t>大项目6项、中国工程科技发展战略福建研究院项目</w:t>
      </w:r>
      <w:r>
        <w:rPr>
          <w:rFonts w:ascii="仿宋" w:eastAsia="仿宋" w:hAnsi="仿宋" w:cs="Times New Roman"/>
          <w:sz w:val="32"/>
          <w:szCs w:val="32"/>
        </w:rPr>
        <w:t>1</w:t>
      </w:r>
      <w:r>
        <w:rPr>
          <w:rFonts w:ascii="仿宋" w:eastAsia="仿宋" w:hAnsi="仿宋" w:cs="Times New Roman" w:hint="eastAsia"/>
          <w:sz w:val="32"/>
          <w:szCs w:val="32"/>
        </w:rPr>
        <w:t>项。全年校外到账经费</w:t>
      </w:r>
      <w:r>
        <w:rPr>
          <w:rFonts w:ascii="仿宋" w:eastAsia="仿宋" w:hAnsi="仿宋" w:cs="Times New Roman"/>
          <w:sz w:val="32"/>
          <w:szCs w:val="32"/>
        </w:rPr>
        <w:t>354.76</w:t>
      </w:r>
      <w:r>
        <w:rPr>
          <w:rFonts w:ascii="仿宋" w:eastAsia="仿宋" w:hAnsi="仿宋" w:cs="Times New Roman" w:hint="eastAsia"/>
          <w:sz w:val="32"/>
          <w:szCs w:val="32"/>
        </w:rPr>
        <w:t>万元。</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（2）高水平论文和研究成果丰富。</w:t>
      </w:r>
      <w:r>
        <w:rPr>
          <w:rFonts w:ascii="仿宋" w:eastAsia="仿宋" w:hAnsi="仿宋" w:cs="Times New Roman" w:hint="eastAsia"/>
          <w:sz w:val="32"/>
          <w:szCs w:val="32"/>
        </w:rPr>
        <w:t>新增福建省优秀社科成果奖二等奖1项，三等奖</w:t>
      </w:r>
      <w:r>
        <w:rPr>
          <w:rFonts w:ascii="仿宋" w:eastAsia="仿宋" w:hAnsi="仿宋" w:cs="Times New Roman"/>
          <w:sz w:val="32"/>
          <w:szCs w:val="32"/>
        </w:rPr>
        <w:t>3</w:t>
      </w:r>
      <w:r>
        <w:rPr>
          <w:rFonts w:ascii="仿宋" w:eastAsia="仿宋" w:hAnsi="仿宋" w:cs="Times New Roman" w:hint="eastAsia"/>
          <w:sz w:val="32"/>
          <w:szCs w:val="32"/>
        </w:rPr>
        <w:t>项；民政部优秀理论文章二等奖1篇；福州市社会科学优秀成果奖一等奖1项、二等奖1项；</w:t>
      </w:r>
      <w:proofErr w:type="gramStart"/>
      <w:r>
        <w:rPr>
          <w:rFonts w:ascii="仿宋" w:eastAsia="仿宋" w:hAnsi="仿宋" w:cs="Times New Roman" w:hint="eastAsia"/>
          <w:sz w:val="32"/>
          <w:szCs w:val="32"/>
        </w:rPr>
        <w:t>校</w:t>
      </w:r>
      <w:r>
        <w:rPr>
          <w:rFonts w:ascii="仿宋" w:eastAsia="仿宋" w:hAnsi="仿宋" w:cs="Times New Roman"/>
          <w:sz w:val="32"/>
          <w:szCs w:val="32"/>
        </w:rPr>
        <w:t>重大</w:t>
      </w:r>
      <w:proofErr w:type="gramEnd"/>
      <w:r>
        <w:rPr>
          <w:rFonts w:ascii="仿宋" w:eastAsia="仿宋" w:hAnsi="仿宋" w:cs="Times New Roman"/>
          <w:sz w:val="32"/>
          <w:szCs w:val="32"/>
        </w:rPr>
        <w:t>人文社科研究成果奖</w:t>
      </w:r>
      <w:r>
        <w:rPr>
          <w:rFonts w:ascii="仿宋" w:eastAsia="仿宋" w:hAnsi="仿宋" w:cs="Times New Roman" w:hint="eastAsia"/>
          <w:sz w:val="32"/>
          <w:szCs w:val="32"/>
        </w:rPr>
        <w:t>8项</w:t>
      </w:r>
      <w:r>
        <w:rPr>
          <w:rFonts w:ascii="仿宋" w:eastAsia="仿宋" w:hAnsi="仿宋" w:cs="Times New Roman"/>
          <w:sz w:val="32"/>
          <w:szCs w:val="32"/>
        </w:rPr>
        <w:t>，</w:t>
      </w:r>
      <w:r>
        <w:rPr>
          <w:rFonts w:ascii="仿宋" w:eastAsia="仿宋" w:hAnsi="仿宋" w:cs="Times New Roman" w:hint="eastAsia"/>
          <w:sz w:val="32"/>
          <w:szCs w:val="32"/>
        </w:rPr>
        <w:t>科研育人突出业绩奖3项；福建社科界庆祝中国共产党成立100周年青年学者论坛优秀论文5篇。学院教师以第一作者或通讯作者发表论文</w:t>
      </w:r>
      <w:r>
        <w:rPr>
          <w:rFonts w:ascii="仿宋" w:eastAsia="仿宋" w:hAnsi="仿宋" w:cs="Times New Roman"/>
          <w:sz w:val="32"/>
          <w:szCs w:val="32"/>
        </w:rPr>
        <w:t>59</w:t>
      </w:r>
      <w:r>
        <w:rPr>
          <w:rFonts w:ascii="仿宋" w:eastAsia="仿宋" w:hAnsi="仿宋" w:cs="Times New Roman" w:hint="eastAsia"/>
          <w:sz w:val="32"/>
          <w:szCs w:val="32"/>
        </w:rPr>
        <w:t>篇，其中EI期刊1篇，S</w:t>
      </w:r>
      <w:r>
        <w:rPr>
          <w:rFonts w:ascii="仿宋" w:eastAsia="仿宋" w:hAnsi="仿宋" w:cs="Times New Roman"/>
          <w:sz w:val="32"/>
          <w:szCs w:val="32"/>
        </w:rPr>
        <w:t>SCI</w:t>
      </w:r>
      <w:r>
        <w:rPr>
          <w:rFonts w:ascii="仿宋" w:eastAsia="仿宋" w:hAnsi="仿宋" w:cs="Times New Roman" w:hint="eastAsia"/>
          <w:sz w:val="32"/>
          <w:szCs w:val="32"/>
        </w:rPr>
        <w:t>期刊2篇，CSSCI期刊论文</w:t>
      </w:r>
      <w:r>
        <w:rPr>
          <w:rFonts w:ascii="仿宋" w:eastAsia="仿宋" w:hAnsi="仿宋" w:cs="Times New Roman"/>
          <w:sz w:val="32"/>
          <w:szCs w:val="32"/>
        </w:rPr>
        <w:t>19</w:t>
      </w:r>
      <w:r>
        <w:rPr>
          <w:rFonts w:ascii="仿宋" w:eastAsia="仿宋" w:hAnsi="仿宋" w:cs="Times New Roman" w:hint="eastAsia"/>
          <w:sz w:val="32"/>
          <w:szCs w:val="32"/>
        </w:rPr>
        <w:t>篇，中文核心期刊论文5篇，《人民日报理论版》《科技日报》《中国社会科学报》各1篇，《福建日报理论版》</w:t>
      </w:r>
      <w:r>
        <w:rPr>
          <w:rFonts w:ascii="仿宋" w:eastAsia="仿宋" w:hAnsi="仿宋" w:cs="Times New Roman"/>
          <w:sz w:val="32"/>
          <w:szCs w:val="32"/>
        </w:rPr>
        <w:t>4</w:t>
      </w:r>
      <w:r>
        <w:rPr>
          <w:rFonts w:ascii="仿宋" w:eastAsia="仿宋" w:hAnsi="仿宋" w:cs="Times New Roman" w:hint="eastAsia"/>
          <w:sz w:val="32"/>
          <w:szCs w:val="32"/>
        </w:rPr>
        <w:t>篇。1份调研报告被《党建参阅》(人民日报社内刊)采用、</w:t>
      </w:r>
      <w:r>
        <w:rPr>
          <w:rFonts w:ascii="仿宋" w:eastAsia="仿宋" w:hAnsi="仿宋" w:cs="Times New Roman"/>
          <w:sz w:val="32"/>
          <w:szCs w:val="32"/>
        </w:rPr>
        <w:t>4</w:t>
      </w:r>
      <w:r>
        <w:rPr>
          <w:rFonts w:ascii="仿宋" w:eastAsia="仿宋" w:hAnsi="仿宋" w:cs="Times New Roman" w:hint="eastAsia"/>
          <w:sz w:val="32"/>
          <w:szCs w:val="32"/>
        </w:rPr>
        <w:t>份研究报告被《成果要报》等内刊采用。1位教师应邀参加全国老龄工作专题调研座谈会并作大会做专题汇报。</w:t>
      </w:r>
      <w:r>
        <w:rPr>
          <w:rFonts w:ascii="仿宋" w:eastAsia="仿宋" w:hAnsi="仿宋" w:cs="仿宋" w:hint="eastAsia"/>
          <w:spacing w:val="-8"/>
          <w:sz w:val="32"/>
          <w:szCs w:val="32"/>
        </w:rPr>
        <w:t>区域特色发展智库获遴选为“福建省重点智库培育单位”。</w:t>
      </w:r>
    </w:p>
    <w:p w:rsidR="0060305F" w:rsidRDefault="00EB63B3">
      <w:pPr>
        <w:spacing w:line="520" w:lineRule="exact"/>
        <w:ind w:firstLineChars="200" w:firstLine="611"/>
        <w:jc w:val="both"/>
        <w:rPr>
          <w:rFonts w:ascii="仿宋" w:eastAsia="仿宋" w:hAnsi="仿宋" w:cs="Times New Roman"/>
          <w:sz w:val="32"/>
          <w:szCs w:val="32"/>
        </w:rPr>
      </w:pPr>
      <w:r>
        <w:rPr>
          <w:rFonts w:ascii="仿宋" w:eastAsia="仿宋" w:hAnsi="仿宋" w:cs="仿宋" w:hint="eastAsia"/>
          <w:b/>
          <w:bCs/>
          <w:spacing w:val="-8"/>
          <w:sz w:val="32"/>
          <w:szCs w:val="32"/>
        </w:rPr>
        <w:t>（3）科研成果转化应用较好。</w:t>
      </w:r>
      <w:bookmarkStart w:id="24" w:name="bookmark0"/>
      <w:r>
        <w:rPr>
          <w:rFonts w:ascii="仿宋" w:eastAsia="仿宋" w:hAnsi="仿宋" w:cs="Times New Roman" w:hint="eastAsia"/>
          <w:b/>
          <w:sz w:val="32"/>
          <w:szCs w:val="32"/>
        </w:rPr>
        <w:t>一是服务地方“十四五”规划编制。</w:t>
      </w:r>
      <w:r>
        <w:rPr>
          <w:rFonts w:ascii="仿宋" w:eastAsia="仿宋" w:hAnsi="仿宋" w:cs="Times New Roman" w:hint="eastAsia"/>
          <w:sz w:val="32"/>
          <w:szCs w:val="32"/>
        </w:rPr>
        <w:t>协助福清市、永泰县、莆田</w:t>
      </w:r>
      <w:proofErr w:type="gramStart"/>
      <w:r>
        <w:rPr>
          <w:rFonts w:ascii="仿宋" w:eastAsia="仿宋" w:hAnsi="仿宋" w:cs="Times New Roman" w:hint="eastAsia"/>
          <w:sz w:val="32"/>
          <w:szCs w:val="32"/>
        </w:rPr>
        <w:t>秀屿区等</w:t>
      </w:r>
      <w:proofErr w:type="gramEnd"/>
      <w:r>
        <w:rPr>
          <w:rFonts w:ascii="仿宋" w:eastAsia="仿宋" w:hAnsi="仿宋" w:cs="Times New Roman" w:hint="eastAsia"/>
          <w:sz w:val="32"/>
          <w:szCs w:val="32"/>
        </w:rPr>
        <w:t>3个市县区编制十四五规划；主持完成的“福建省十四五文化改革发展研究”获省委宣传部采用。福建省产业布局和产业发展研究获省国土空间规划局编制采用。“十四五”期间福州加快推动城乡一体化发展的思路和重点任务研究被写入福州市十四五规划。“福州市特色现代农业十四五发展专项规划”获福州市政府决策采用发布实施。</w:t>
      </w:r>
      <w:r>
        <w:rPr>
          <w:rFonts w:ascii="仿宋" w:eastAsia="仿宋" w:hAnsi="仿宋" w:cs="Times New Roman" w:hint="eastAsia"/>
          <w:b/>
          <w:sz w:val="32"/>
          <w:szCs w:val="32"/>
        </w:rPr>
        <w:t>二是不断扩大决策咨询社会效应。</w:t>
      </w:r>
      <w:r>
        <w:rPr>
          <w:rFonts w:ascii="仿宋" w:eastAsia="仿宋" w:hAnsi="仿宋" w:cs="Times New Roman" w:hint="eastAsia"/>
          <w:sz w:val="32"/>
          <w:szCs w:val="32"/>
        </w:rPr>
        <w:t>积极承担重大决策咨询，成果被省级政府部门采纳8项，市厅级政府部门采纳6项，县级政府部门采纳5项。《关于提升我省碳汇能力推进碳达峰碳中和工作走前头的建议》被省委书记批</w:t>
      </w:r>
      <w:r>
        <w:rPr>
          <w:rFonts w:ascii="仿宋" w:eastAsia="仿宋" w:hAnsi="仿宋" w:cs="Times New Roman" w:hint="eastAsia"/>
          <w:sz w:val="32"/>
          <w:szCs w:val="32"/>
        </w:rPr>
        <w:lastRenderedPageBreak/>
        <w:t>示。《日本核废水排放对我省海洋渔业发展的影响及政策建议》被省长批示。智库团队为省委省政府等各地政府提供专家决策咨询服务100多人次。</w:t>
      </w:r>
      <w:r>
        <w:rPr>
          <w:rFonts w:ascii="仿宋" w:eastAsia="仿宋" w:hAnsi="仿宋" w:cs="Times New Roman" w:hint="eastAsia"/>
          <w:b/>
          <w:sz w:val="32"/>
          <w:szCs w:val="32"/>
        </w:rPr>
        <w:t>三是助</w:t>
      </w:r>
      <w:r>
        <w:rPr>
          <w:rFonts w:ascii="仿宋" w:eastAsia="仿宋" w:hAnsi="仿宋" w:cs="Times New Roman"/>
          <w:b/>
          <w:sz w:val="32"/>
          <w:szCs w:val="32"/>
        </w:rPr>
        <w:t>力乡村振</w:t>
      </w:r>
      <w:r>
        <w:rPr>
          <w:rFonts w:ascii="仿宋" w:eastAsia="仿宋" w:hAnsi="仿宋" w:cs="Times New Roman" w:hint="eastAsia"/>
          <w:b/>
          <w:sz w:val="32"/>
          <w:szCs w:val="32"/>
        </w:rPr>
        <w:t>兴，服务新福建建设</w:t>
      </w:r>
      <w:r>
        <w:rPr>
          <w:rFonts w:ascii="仿宋" w:eastAsia="仿宋" w:hAnsi="仿宋" w:cs="Times New Roman"/>
          <w:b/>
          <w:sz w:val="32"/>
          <w:szCs w:val="32"/>
        </w:rPr>
        <w:t>。</w:t>
      </w:r>
      <w:r>
        <w:rPr>
          <w:rFonts w:ascii="仿宋" w:eastAsia="仿宋" w:hAnsi="仿宋" w:cs="Times New Roman" w:hint="eastAsia"/>
          <w:sz w:val="32"/>
          <w:szCs w:val="32"/>
        </w:rPr>
        <w:t>组</w:t>
      </w:r>
      <w:r>
        <w:rPr>
          <w:rFonts w:ascii="仿宋" w:eastAsia="仿宋" w:hAnsi="仿宋" w:cs="Times New Roman"/>
          <w:sz w:val="32"/>
          <w:szCs w:val="32"/>
        </w:rPr>
        <w:t>建</w:t>
      </w:r>
      <w:r>
        <w:rPr>
          <w:rFonts w:ascii="仿宋" w:eastAsia="仿宋" w:hAnsi="仿宋" w:cs="Times New Roman" w:hint="eastAsia"/>
          <w:sz w:val="32"/>
          <w:szCs w:val="32"/>
        </w:rPr>
        <w:t>城</w:t>
      </w:r>
      <w:r>
        <w:rPr>
          <w:rFonts w:ascii="仿宋" w:eastAsia="仿宋" w:hAnsi="仿宋" w:cs="Times New Roman"/>
          <w:sz w:val="32"/>
          <w:szCs w:val="32"/>
        </w:rPr>
        <w:t>乡融</w:t>
      </w:r>
      <w:r>
        <w:rPr>
          <w:rFonts w:ascii="仿宋" w:eastAsia="仿宋" w:hAnsi="仿宋" w:cs="Times New Roman" w:hint="eastAsia"/>
          <w:sz w:val="32"/>
          <w:szCs w:val="32"/>
        </w:rPr>
        <w:t>合</w:t>
      </w:r>
      <w:r>
        <w:rPr>
          <w:rFonts w:ascii="仿宋" w:eastAsia="仿宋" w:hAnsi="仿宋" w:cs="Times New Roman"/>
          <w:sz w:val="32"/>
          <w:szCs w:val="32"/>
        </w:rPr>
        <w:t>发展智</w:t>
      </w:r>
      <w:r>
        <w:rPr>
          <w:rFonts w:ascii="仿宋" w:eastAsia="仿宋" w:hAnsi="仿宋" w:cs="Times New Roman" w:hint="eastAsia"/>
          <w:sz w:val="32"/>
          <w:szCs w:val="32"/>
        </w:rPr>
        <w:t>库</w:t>
      </w:r>
      <w:r>
        <w:rPr>
          <w:rFonts w:ascii="仿宋" w:eastAsia="仿宋" w:hAnsi="仿宋" w:cs="Times New Roman"/>
          <w:sz w:val="32"/>
          <w:szCs w:val="32"/>
        </w:rPr>
        <w:t>服务</w:t>
      </w:r>
      <w:r>
        <w:rPr>
          <w:rFonts w:ascii="仿宋" w:eastAsia="仿宋" w:hAnsi="仿宋" w:cs="Times New Roman" w:hint="eastAsia"/>
          <w:sz w:val="32"/>
          <w:szCs w:val="32"/>
        </w:rPr>
        <w:t>团</w:t>
      </w:r>
      <w:r>
        <w:rPr>
          <w:rFonts w:ascii="仿宋" w:eastAsia="仿宋" w:hAnsi="仿宋" w:cs="Times New Roman"/>
          <w:sz w:val="32"/>
          <w:szCs w:val="32"/>
        </w:rPr>
        <w:t>队和乡村治理政策与技术服务</w:t>
      </w:r>
      <w:r>
        <w:rPr>
          <w:rFonts w:ascii="仿宋" w:eastAsia="仿宋" w:hAnsi="仿宋" w:cs="Times New Roman" w:hint="eastAsia"/>
          <w:sz w:val="32"/>
          <w:szCs w:val="32"/>
        </w:rPr>
        <w:t>团</w:t>
      </w:r>
      <w:r>
        <w:rPr>
          <w:rFonts w:ascii="仿宋" w:eastAsia="仿宋" w:hAnsi="仿宋" w:cs="Times New Roman"/>
          <w:sz w:val="32"/>
          <w:szCs w:val="32"/>
        </w:rPr>
        <w:t>队，持续开</w:t>
      </w:r>
      <w:r>
        <w:rPr>
          <w:rFonts w:ascii="仿宋" w:eastAsia="仿宋" w:hAnsi="仿宋" w:cs="Times New Roman" w:hint="eastAsia"/>
          <w:sz w:val="32"/>
          <w:szCs w:val="32"/>
        </w:rPr>
        <w:t>展</w:t>
      </w:r>
      <w:r>
        <w:rPr>
          <w:rFonts w:ascii="仿宋" w:eastAsia="仿宋" w:hAnsi="仿宋" w:cs="Times New Roman"/>
          <w:sz w:val="32"/>
          <w:szCs w:val="32"/>
        </w:rPr>
        <w:t>生态文明建</w:t>
      </w:r>
      <w:r>
        <w:rPr>
          <w:rFonts w:ascii="仿宋" w:eastAsia="仿宋" w:hAnsi="仿宋" w:cs="Times New Roman" w:hint="eastAsia"/>
          <w:sz w:val="32"/>
          <w:szCs w:val="32"/>
        </w:rPr>
        <w:t>设</w:t>
      </w:r>
      <w:r>
        <w:rPr>
          <w:rFonts w:ascii="仿宋" w:eastAsia="仿宋" w:hAnsi="仿宋" w:cs="Times New Roman"/>
          <w:sz w:val="32"/>
          <w:szCs w:val="32"/>
        </w:rPr>
        <w:t>、地域文化、</w:t>
      </w:r>
      <w:r>
        <w:rPr>
          <w:rFonts w:ascii="仿宋" w:eastAsia="仿宋" w:hAnsi="仿宋" w:cs="Times New Roman" w:hint="eastAsia"/>
          <w:sz w:val="32"/>
          <w:szCs w:val="32"/>
        </w:rPr>
        <w:t>乡</w:t>
      </w:r>
      <w:r>
        <w:rPr>
          <w:rFonts w:ascii="仿宋" w:eastAsia="仿宋" w:hAnsi="仿宋" w:cs="Times New Roman"/>
          <w:sz w:val="32"/>
          <w:szCs w:val="32"/>
        </w:rPr>
        <w:t>村治理等方面的</w:t>
      </w:r>
      <w:r>
        <w:rPr>
          <w:rFonts w:ascii="仿宋" w:eastAsia="仿宋" w:hAnsi="仿宋" w:cs="Times New Roman" w:hint="eastAsia"/>
          <w:sz w:val="32"/>
          <w:szCs w:val="32"/>
        </w:rPr>
        <w:t>研究。协助晋安区石牌村建设全国农村社区治理实验区示范村，在连辉社区成</w:t>
      </w:r>
      <w:r>
        <w:rPr>
          <w:rFonts w:ascii="仿宋" w:eastAsia="仿宋" w:hAnsi="仿宋" w:cs="Times New Roman"/>
          <w:sz w:val="32"/>
          <w:szCs w:val="32"/>
        </w:rPr>
        <w:t>立</w:t>
      </w:r>
      <w:r>
        <w:rPr>
          <w:rFonts w:ascii="仿宋" w:eastAsia="仿宋" w:hAnsi="仿宋" w:cs="Times New Roman" w:hint="eastAsia"/>
          <w:sz w:val="32"/>
          <w:szCs w:val="32"/>
        </w:rPr>
        <w:t>福建省首家乐</w:t>
      </w:r>
      <w:proofErr w:type="gramStart"/>
      <w:r>
        <w:rPr>
          <w:rFonts w:ascii="仿宋" w:eastAsia="仿宋" w:hAnsi="仿宋" w:cs="Times New Roman" w:hint="eastAsia"/>
          <w:sz w:val="32"/>
          <w:szCs w:val="32"/>
        </w:rPr>
        <w:t>龄学习</w:t>
      </w:r>
      <w:proofErr w:type="gramEnd"/>
      <w:r>
        <w:rPr>
          <w:rFonts w:ascii="仿宋" w:eastAsia="仿宋" w:hAnsi="仿宋" w:cs="Times New Roman" w:hint="eastAsia"/>
          <w:sz w:val="32"/>
          <w:szCs w:val="32"/>
        </w:rPr>
        <w:t>中心，引进台湾社区营造经验，助力闽台融合发展。</w:t>
      </w:r>
      <w:r>
        <w:rPr>
          <w:rFonts w:ascii="仿宋" w:eastAsia="仿宋" w:hAnsi="仿宋" w:cs="Times New Roman" w:hint="eastAsia"/>
          <w:b/>
          <w:bCs/>
          <w:sz w:val="32"/>
          <w:szCs w:val="32"/>
        </w:rPr>
        <w:t>四是持</w:t>
      </w:r>
      <w:r>
        <w:rPr>
          <w:rFonts w:ascii="仿宋" w:eastAsia="仿宋" w:hAnsi="仿宋" w:cs="Times New Roman"/>
          <w:b/>
          <w:bCs/>
          <w:sz w:val="32"/>
          <w:szCs w:val="32"/>
        </w:rPr>
        <w:t>续服务我省国土空间总体规划</w:t>
      </w:r>
      <w:r>
        <w:rPr>
          <w:rFonts w:ascii="仿宋" w:eastAsia="仿宋" w:hAnsi="仿宋" w:cs="Times New Roman"/>
          <w:sz w:val="32"/>
          <w:szCs w:val="32"/>
        </w:rPr>
        <w:t>（2020-2035）编制工作，承担了德化县城镇基准地价农用地基价评估</w:t>
      </w:r>
      <w:r>
        <w:rPr>
          <w:rFonts w:ascii="仿宋" w:eastAsia="仿宋" w:hAnsi="仿宋" w:cs="Times New Roman" w:hint="eastAsia"/>
          <w:sz w:val="32"/>
          <w:szCs w:val="32"/>
        </w:rPr>
        <w:t>等</w:t>
      </w:r>
      <w:r>
        <w:rPr>
          <w:rFonts w:ascii="仿宋" w:eastAsia="仿宋" w:hAnsi="仿宋" w:cs="Times New Roman"/>
          <w:sz w:val="32"/>
          <w:szCs w:val="32"/>
        </w:rPr>
        <w:t>工作，与企业对接，做</w:t>
      </w:r>
      <w:r>
        <w:rPr>
          <w:rFonts w:ascii="仿宋" w:eastAsia="仿宋" w:hAnsi="仿宋" w:cs="Times New Roman" w:hint="eastAsia"/>
          <w:sz w:val="32"/>
          <w:szCs w:val="32"/>
        </w:rPr>
        <w:t>好</w:t>
      </w:r>
      <w:r>
        <w:rPr>
          <w:rFonts w:ascii="仿宋" w:eastAsia="仿宋" w:hAnsi="仿宋" w:cs="Times New Roman"/>
          <w:sz w:val="32"/>
          <w:szCs w:val="32"/>
        </w:rPr>
        <w:t>土地征收社会风险评估等技术咨询与服务工作。</w:t>
      </w:r>
    </w:p>
    <w:p w:rsidR="0060305F" w:rsidRDefault="00EB63B3">
      <w:pPr>
        <w:pStyle w:val="3"/>
        <w:spacing w:before="0" w:afterLines="50" w:after="120" w:line="520" w:lineRule="exact"/>
        <w:ind w:firstLineChars="200" w:firstLine="643"/>
        <w:rPr>
          <w:rFonts w:ascii="仿宋" w:eastAsia="仿宋" w:hAnsi="仿宋" w:cs="仿宋"/>
          <w:sz w:val="32"/>
          <w:lang w:val="zh-CN"/>
        </w:rPr>
      </w:pPr>
      <w:bookmarkStart w:id="25" w:name="_Toc102656645"/>
      <w:bookmarkStart w:id="26" w:name="_Toc8375"/>
      <w:r>
        <w:rPr>
          <w:rFonts w:ascii="仿宋" w:eastAsia="仿宋" w:hAnsi="仿宋" w:cs="仿宋" w:hint="eastAsia"/>
          <w:sz w:val="32"/>
        </w:rPr>
        <w:t>4.</w:t>
      </w:r>
      <w:r>
        <w:rPr>
          <w:rFonts w:ascii="仿宋" w:eastAsia="仿宋" w:hAnsi="仿宋" w:cs="仿宋" w:hint="eastAsia"/>
          <w:sz w:val="32"/>
          <w:lang w:val="zh-CN"/>
        </w:rPr>
        <w:t>教学科研支</w:t>
      </w:r>
      <w:bookmarkEnd w:id="24"/>
      <w:r>
        <w:rPr>
          <w:rFonts w:ascii="仿宋" w:eastAsia="仿宋" w:hAnsi="仿宋" w:cs="仿宋" w:hint="eastAsia"/>
          <w:sz w:val="32"/>
          <w:lang w:val="zh-CN"/>
        </w:rPr>
        <w:t>撑</w:t>
      </w:r>
      <w:bookmarkEnd w:id="25"/>
      <w:bookmarkEnd w:id="26"/>
    </w:p>
    <w:p w:rsidR="0060305F" w:rsidRDefault="00EB63B3">
      <w:pPr>
        <w:spacing w:line="500" w:lineRule="exact"/>
        <w:ind w:firstLine="561"/>
        <w:rPr>
          <w:rFonts w:ascii="仿宋" w:eastAsia="仿宋" w:hAnsi="仿宋" w:cs="仿宋"/>
          <w:spacing w:val="-8"/>
          <w:sz w:val="32"/>
          <w:szCs w:val="32"/>
        </w:rPr>
      </w:pPr>
      <w:bookmarkStart w:id="27" w:name="bookmark1"/>
      <w:bookmarkStart w:id="28" w:name="_Toc2072"/>
      <w:bookmarkStart w:id="29" w:name="_Toc10706"/>
      <w:bookmarkStart w:id="30" w:name="_Toc9336"/>
      <w:bookmarkStart w:id="31" w:name="_Toc12612"/>
      <w:bookmarkStart w:id="32" w:name="_Toc22259"/>
      <w:r>
        <w:rPr>
          <w:rFonts w:ascii="仿宋" w:eastAsia="仿宋" w:hAnsi="仿宋" w:cs="仿宋" w:hint="eastAsia"/>
          <w:b/>
          <w:bCs/>
          <w:spacing w:val="-8"/>
          <w:sz w:val="32"/>
          <w:szCs w:val="32"/>
        </w:rPr>
        <w:t>（1）国家级、省部厅级教学科研平台体系较完备</w:t>
      </w:r>
      <w:r>
        <w:rPr>
          <w:rFonts w:ascii="仿宋" w:eastAsia="仿宋" w:hAnsi="仿宋" w:cs="仿宋" w:hint="eastAsia"/>
          <w:spacing w:val="-8"/>
          <w:sz w:val="32"/>
          <w:szCs w:val="32"/>
        </w:rPr>
        <w:t>，可以很好地支撑本学位</w:t>
      </w:r>
      <w:bookmarkEnd w:id="27"/>
      <w:proofErr w:type="gramStart"/>
      <w:r>
        <w:rPr>
          <w:rFonts w:ascii="仿宋" w:eastAsia="仿宋" w:hAnsi="仿宋" w:cs="仿宋" w:hint="eastAsia"/>
          <w:spacing w:val="-8"/>
          <w:sz w:val="32"/>
          <w:szCs w:val="32"/>
        </w:rPr>
        <w:t>点教学</w:t>
      </w:r>
      <w:proofErr w:type="gramEnd"/>
      <w:r>
        <w:rPr>
          <w:rFonts w:ascii="仿宋" w:eastAsia="仿宋" w:hAnsi="仿宋" w:cs="仿宋" w:hint="eastAsia"/>
          <w:spacing w:val="-8"/>
          <w:sz w:val="32"/>
          <w:szCs w:val="32"/>
        </w:rPr>
        <w:t>科研和人才培养工作。新</w:t>
      </w:r>
      <w:r>
        <w:rPr>
          <w:rFonts w:ascii="仿宋" w:eastAsia="仿宋" w:hAnsi="仿宋" w:cs="仿宋" w:hint="eastAsia"/>
          <w:color w:val="000000" w:themeColor="text1"/>
          <w:sz w:val="32"/>
          <w:szCs w:val="32"/>
        </w:rPr>
        <w:t>建一个科研和社会服务综合平台“福建农林大学乡村振兴研究院”，</w:t>
      </w:r>
      <w:r>
        <w:rPr>
          <w:rFonts w:ascii="仿宋" w:eastAsia="仿宋" w:hAnsi="仿宋" w:cs="仿宋" w:hint="eastAsia"/>
          <w:spacing w:val="-8"/>
          <w:sz w:val="32"/>
          <w:szCs w:val="32"/>
        </w:rPr>
        <w:t xml:space="preserve">拥有 1 </w:t>
      </w:r>
      <w:proofErr w:type="gramStart"/>
      <w:r>
        <w:rPr>
          <w:rFonts w:ascii="仿宋" w:eastAsia="仿宋" w:hAnsi="仿宋" w:cs="仿宋" w:hint="eastAsia"/>
          <w:spacing w:val="-8"/>
          <w:sz w:val="32"/>
          <w:szCs w:val="32"/>
        </w:rPr>
        <w:t>个</w:t>
      </w:r>
      <w:proofErr w:type="gramEnd"/>
      <w:r>
        <w:rPr>
          <w:rFonts w:ascii="仿宋" w:eastAsia="仿宋" w:hAnsi="仿宋" w:cs="仿宋" w:hint="eastAsia"/>
          <w:spacing w:val="-8"/>
          <w:sz w:val="32"/>
          <w:szCs w:val="32"/>
        </w:rPr>
        <w:t xml:space="preserve">国家级工程技术创新中心，1 </w:t>
      </w:r>
      <w:proofErr w:type="gramStart"/>
      <w:r>
        <w:rPr>
          <w:rFonts w:ascii="仿宋" w:eastAsia="仿宋" w:hAnsi="仿宋" w:cs="仿宋" w:hint="eastAsia"/>
          <w:spacing w:val="-8"/>
          <w:sz w:val="32"/>
          <w:szCs w:val="32"/>
        </w:rPr>
        <w:t>个</w:t>
      </w:r>
      <w:proofErr w:type="gramEnd"/>
      <w:r>
        <w:rPr>
          <w:rFonts w:ascii="仿宋" w:eastAsia="仿宋" w:hAnsi="仿宋" w:cs="仿宋" w:hint="eastAsia"/>
          <w:spacing w:val="-8"/>
          <w:sz w:val="32"/>
          <w:szCs w:val="32"/>
        </w:rPr>
        <w:t xml:space="preserve">全国公共管理案例中心福州分中心，1 </w:t>
      </w:r>
      <w:proofErr w:type="gramStart"/>
      <w:r>
        <w:rPr>
          <w:rFonts w:ascii="仿宋" w:eastAsia="仿宋" w:hAnsi="仿宋" w:cs="仿宋" w:hint="eastAsia"/>
          <w:spacing w:val="-8"/>
          <w:sz w:val="32"/>
          <w:szCs w:val="32"/>
        </w:rPr>
        <w:t>个</w:t>
      </w:r>
      <w:proofErr w:type="gramEnd"/>
      <w:r>
        <w:rPr>
          <w:rFonts w:ascii="仿宋" w:eastAsia="仿宋" w:hAnsi="仿宋" w:cs="仿宋" w:hint="eastAsia"/>
          <w:spacing w:val="-8"/>
          <w:sz w:val="32"/>
          <w:szCs w:val="32"/>
        </w:rPr>
        <w:t xml:space="preserve">福建省社会科学研究基地，1个福建省重点智库、高校特色新型智库，5个福建省高校人文社会科学研究基地等 9 </w:t>
      </w:r>
      <w:proofErr w:type="gramStart"/>
      <w:r>
        <w:rPr>
          <w:rFonts w:ascii="仿宋" w:eastAsia="仿宋" w:hAnsi="仿宋" w:cs="仿宋" w:hint="eastAsia"/>
          <w:spacing w:val="-8"/>
          <w:sz w:val="32"/>
          <w:szCs w:val="32"/>
        </w:rPr>
        <w:t>个</w:t>
      </w:r>
      <w:proofErr w:type="gramEnd"/>
      <w:r>
        <w:rPr>
          <w:rFonts w:ascii="仿宋" w:eastAsia="仿宋" w:hAnsi="仿宋" w:cs="仿宋" w:hint="eastAsia"/>
          <w:spacing w:val="-8"/>
          <w:sz w:val="32"/>
          <w:szCs w:val="32"/>
        </w:rPr>
        <w:t>省部级厅级平台，</w:t>
      </w:r>
      <w:r>
        <w:rPr>
          <w:rFonts w:ascii="仿宋" w:eastAsia="仿宋" w:hAnsi="仿宋" w:cs="仿宋" w:hint="eastAsia"/>
          <w:color w:val="000000" w:themeColor="text1"/>
          <w:sz w:val="32"/>
          <w:szCs w:val="32"/>
        </w:rPr>
        <w:t xml:space="preserve"> “公共管理政策分析”、“国土空间规划与土地政治”等2个实验室，以及3个校内大学生科研训练基地，同时还拥有59个校外实践教学基地、43个农村固定观察点等。这些平台为学位点的教学科研、案例研发等提供了良好的基础和条件。</w:t>
      </w:r>
      <w:bookmarkEnd w:id="28"/>
      <w:bookmarkEnd w:id="29"/>
      <w:bookmarkEnd w:id="30"/>
      <w:bookmarkEnd w:id="31"/>
      <w:bookmarkEnd w:id="32"/>
    </w:p>
    <w:p w:rsidR="0060305F" w:rsidRDefault="00EB63B3">
      <w:pPr>
        <w:spacing w:line="500" w:lineRule="exact"/>
        <w:ind w:firstLine="560"/>
        <w:rPr>
          <w:rFonts w:ascii="仿宋" w:eastAsia="仿宋" w:hAnsi="仿宋" w:cs="仿宋"/>
          <w:color w:val="000000" w:themeColor="text1"/>
          <w:sz w:val="32"/>
          <w:szCs w:val="32"/>
        </w:rPr>
      </w:pPr>
      <w:r>
        <w:rPr>
          <w:rFonts w:ascii="仿宋" w:eastAsia="仿宋" w:hAnsi="仿宋" w:cs="仿宋" w:hint="eastAsia"/>
          <w:b/>
          <w:bCs/>
          <w:spacing w:val="-8"/>
          <w:sz w:val="32"/>
          <w:szCs w:val="32"/>
        </w:rPr>
        <w:t>（2）教学科研设施条件较好。</w:t>
      </w:r>
      <w:bookmarkStart w:id="33" w:name="_Toc10238"/>
      <w:r>
        <w:rPr>
          <w:rFonts w:ascii="仿宋" w:eastAsia="仿宋" w:hAnsi="仿宋" w:cs="仿宋" w:hint="eastAsia"/>
          <w:color w:val="000000" w:themeColor="text1"/>
          <w:sz w:val="32"/>
          <w:szCs w:val="32"/>
        </w:rPr>
        <w:t>学校占地面积4500多亩，拥有教学科研用房50多万平方米，图书馆馆藏纸质图书（含期刊装订本）309万册，电子图书（含电子期刊）340万册。建有一栋独立的公共管理学院综合大楼，其中教学专用多媒体</w:t>
      </w:r>
      <w:r>
        <w:rPr>
          <w:rFonts w:ascii="仿宋" w:eastAsia="仿宋" w:hAnsi="仿宋" w:cs="仿宋" w:hint="eastAsia"/>
          <w:color w:val="000000" w:themeColor="text1"/>
          <w:sz w:val="32"/>
          <w:szCs w:val="32"/>
        </w:rPr>
        <w:lastRenderedPageBreak/>
        <w:t>教室 8 间，其中可容 100 人以上的 1 间，60人以上的 3 间，可容15人以上的 4 间，面积 1492 平方米。拥有设备齐全的案例教室和学习</w:t>
      </w:r>
      <w:proofErr w:type="gramStart"/>
      <w:r>
        <w:rPr>
          <w:rFonts w:ascii="仿宋" w:eastAsia="仿宋" w:hAnsi="仿宋" w:cs="仿宋" w:hint="eastAsia"/>
          <w:color w:val="000000" w:themeColor="text1"/>
          <w:sz w:val="32"/>
          <w:szCs w:val="32"/>
        </w:rPr>
        <w:t>讨论室</w:t>
      </w:r>
      <w:proofErr w:type="gramEnd"/>
      <w:r>
        <w:rPr>
          <w:rFonts w:ascii="仿宋" w:eastAsia="仿宋" w:hAnsi="仿宋" w:cs="仿宋" w:hint="eastAsia"/>
          <w:color w:val="000000" w:themeColor="text1"/>
          <w:sz w:val="32"/>
          <w:szCs w:val="32"/>
        </w:rPr>
        <w:t>各6间，面积 792 平方米。专业资料室藏书 3.2 万册，阅览室面积达300平方米。提供便捷的多样化校园网络服务。为每一位学生提供个人</w:t>
      </w:r>
      <w:proofErr w:type="gramStart"/>
      <w:r>
        <w:rPr>
          <w:rFonts w:ascii="仿宋" w:eastAsia="仿宋" w:hAnsi="仿宋" w:cs="仿宋" w:hint="eastAsia"/>
          <w:color w:val="000000" w:themeColor="text1"/>
          <w:sz w:val="32"/>
          <w:szCs w:val="32"/>
        </w:rPr>
        <w:t>帐号</w:t>
      </w:r>
      <w:proofErr w:type="gramEnd"/>
      <w:r>
        <w:rPr>
          <w:rFonts w:ascii="仿宋" w:eastAsia="仿宋" w:hAnsi="仿宋" w:cs="仿宋" w:hint="eastAsia"/>
          <w:color w:val="000000" w:themeColor="text1"/>
          <w:sz w:val="32"/>
          <w:szCs w:val="32"/>
        </w:rPr>
        <w:t>，可在多媒体教室、电子阅览室和电子政务实验室等实现便捷上网和查阅学术期刊网。</w:t>
      </w:r>
    </w:p>
    <w:p w:rsidR="0060305F" w:rsidRDefault="00EB63B3">
      <w:pPr>
        <w:pStyle w:val="3"/>
        <w:spacing w:before="0" w:afterLines="50" w:after="120" w:line="520" w:lineRule="exact"/>
        <w:ind w:firstLineChars="200" w:firstLine="643"/>
        <w:rPr>
          <w:rFonts w:ascii="仿宋" w:eastAsia="仿宋" w:hAnsi="仿宋" w:cs="仿宋"/>
          <w:sz w:val="32"/>
        </w:rPr>
      </w:pPr>
      <w:bookmarkStart w:id="34" w:name="_Toc102656646"/>
      <w:r>
        <w:rPr>
          <w:rFonts w:ascii="仿宋" w:eastAsia="仿宋" w:hAnsi="仿宋" w:cs="仿宋" w:hint="eastAsia"/>
          <w:sz w:val="32"/>
        </w:rPr>
        <w:t>5.</w:t>
      </w:r>
      <w:r>
        <w:rPr>
          <w:rFonts w:ascii="仿宋" w:eastAsia="仿宋" w:hAnsi="仿宋" w:cs="仿宋" w:hint="eastAsia"/>
          <w:sz w:val="32"/>
          <w:lang w:val="zh-CN"/>
        </w:rPr>
        <w:t>资助体系</w:t>
      </w:r>
      <w:bookmarkEnd w:id="33"/>
      <w:bookmarkEnd w:id="34"/>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实施“严、奖”结合，加强制度建设，完善资助育人体系，进一步实现精准资助，已经形成以严家显奖学金、研究生国家奖学金、研究生学业奖学金、研究生“三助”金、国家助学贷款、研究生困难补助等构成的较为完善的研究生奖助贷体系。在学院多元丰富的学生资助资金投入体系下</w:t>
      </w:r>
      <w:bookmarkStart w:id="35" w:name="_GoBack"/>
      <w:bookmarkEnd w:id="35"/>
      <w:r>
        <w:rPr>
          <w:rFonts w:ascii="仿宋" w:eastAsia="仿宋" w:hAnsi="仿宋" w:cs="仿宋" w:hint="eastAsia"/>
          <w:spacing w:val="-8"/>
          <w:sz w:val="32"/>
          <w:szCs w:val="32"/>
        </w:rPr>
        <w:t>，建立和完善了科学的研究生培养激励机制，健全了奖优、酬劳、助困相结合的</w:t>
      </w:r>
      <w:proofErr w:type="gramStart"/>
      <w:r>
        <w:rPr>
          <w:rFonts w:ascii="仿宋" w:eastAsia="仿宋" w:hAnsi="仿宋" w:cs="仿宋" w:hint="eastAsia"/>
          <w:spacing w:val="-8"/>
          <w:sz w:val="32"/>
          <w:szCs w:val="32"/>
        </w:rPr>
        <w:t>长效且多元</w:t>
      </w:r>
      <w:proofErr w:type="gramEnd"/>
      <w:r>
        <w:rPr>
          <w:rFonts w:ascii="仿宋" w:eastAsia="仿宋" w:hAnsi="仿宋" w:cs="仿宋" w:hint="eastAsia"/>
          <w:spacing w:val="-8"/>
          <w:sz w:val="32"/>
          <w:szCs w:val="32"/>
        </w:rPr>
        <w:t>的奖助体系。学院确保学生资助资金及时、准确、安全、有效提供给学生，做到“应助尽助”。</w:t>
      </w:r>
    </w:p>
    <w:p w:rsidR="0060305F" w:rsidRDefault="00EB63B3">
      <w:pPr>
        <w:pStyle w:val="3"/>
        <w:spacing w:before="0" w:afterLines="50" w:after="120" w:line="520" w:lineRule="exact"/>
        <w:ind w:firstLineChars="200" w:firstLine="643"/>
        <w:rPr>
          <w:rFonts w:ascii="仿宋" w:eastAsia="仿宋" w:hAnsi="仿宋" w:cs="仿宋"/>
          <w:sz w:val="32"/>
        </w:rPr>
      </w:pPr>
      <w:bookmarkStart w:id="36" w:name="_Toc102656647"/>
      <w:bookmarkStart w:id="37" w:name="_Toc10198"/>
      <w:r>
        <w:rPr>
          <w:rFonts w:ascii="仿宋" w:eastAsia="仿宋" w:hAnsi="仿宋" w:cs="仿宋" w:hint="eastAsia"/>
          <w:sz w:val="32"/>
        </w:rPr>
        <w:t>6.管理服务</w:t>
      </w:r>
      <w:bookmarkEnd w:id="36"/>
      <w:bookmarkEnd w:id="37"/>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（1）形成了较为完善的研究生教育管理与服务校院二级管理体制。</w:t>
      </w:r>
      <w:r>
        <w:rPr>
          <w:rFonts w:ascii="仿宋" w:eastAsia="仿宋" w:hAnsi="仿宋" w:cs="仿宋" w:hint="eastAsia"/>
          <w:spacing w:val="-8"/>
          <w:sz w:val="32"/>
          <w:szCs w:val="32"/>
        </w:rPr>
        <w:t xml:space="preserve"> 2012 </w:t>
      </w:r>
      <w:proofErr w:type="gramStart"/>
      <w:r>
        <w:rPr>
          <w:rFonts w:ascii="仿宋" w:eastAsia="仿宋" w:hAnsi="仿宋" w:cs="仿宋" w:hint="eastAsia"/>
          <w:spacing w:val="-8"/>
          <w:sz w:val="32"/>
          <w:szCs w:val="32"/>
        </w:rPr>
        <w:t>年学校</w:t>
      </w:r>
      <w:proofErr w:type="gramEnd"/>
      <w:r>
        <w:rPr>
          <w:rFonts w:ascii="仿宋" w:eastAsia="仿宋" w:hAnsi="仿宋" w:cs="仿宋" w:hint="eastAsia"/>
          <w:spacing w:val="-8"/>
          <w:sz w:val="32"/>
          <w:szCs w:val="32"/>
        </w:rPr>
        <w:t>成立了研究生院，设有研究生招生办公室、培养办公室、专业学位管理办公室、学位办公室、学位授权点建设与质量监督办公室、博士后管理办公室、院办公室，负责学位与研究生教育发展规划、服务与监督等工作。2013 年成立了党委研究生工作部，设有研究生教育管理科，负责研究生思想政治教育和学生事务管理。学校设有学位 评定委员会、教学指导委员会、专业学位教育指导委员会、研究生招生工作领导小组、学位授权点评估工作领导小组等工作机构。学院相应成立学位</w:t>
      </w:r>
      <w:proofErr w:type="gramStart"/>
      <w:r>
        <w:rPr>
          <w:rFonts w:ascii="仿宋" w:eastAsia="仿宋" w:hAnsi="仿宋" w:cs="仿宋" w:hint="eastAsia"/>
          <w:spacing w:val="-8"/>
          <w:sz w:val="32"/>
          <w:szCs w:val="32"/>
        </w:rPr>
        <w:t>评</w:t>
      </w:r>
      <w:r>
        <w:rPr>
          <w:rFonts w:ascii="仿宋" w:eastAsia="仿宋" w:hAnsi="仿宋" w:cs="仿宋" w:hint="eastAsia"/>
          <w:spacing w:val="-8"/>
          <w:sz w:val="32"/>
          <w:szCs w:val="32"/>
        </w:rPr>
        <w:lastRenderedPageBreak/>
        <w:t>定分</w:t>
      </w:r>
      <w:proofErr w:type="gramEnd"/>
      <w:r>
        <w:rPr>
          <w:rFonts w:ascii="仿宋" w:eastAsia="仿宋" w:hAnsi="仿宋" w:cs="仿宋" w:hint="eastAsia"/>
          <w:spacing w:val="-8"/>
          <w:sz w:val="32"/>
          <w:szCs w:val="32"/>
        </w:rPr>
        <w:t>委员会、教授委员会、研究生招生工作领导小组等工作机构，配备分管学生（含研究生）思想政治教育工作党委副书记</w:t>
      </w:r>
      <w:r w:rsidR="0043137B">
        <w:rPr>
          <w:rFonts w:ascii="仿宋" w:eastAsia="仿宋" w:hAnsi="仿宋" w:cs="仿宋" w:hint="eastAsia"/>
          <w:spacing w:val="-8"/>
          <w:sz w:val="32"/>
          <w:szCs w:val="32"/>
        </w:rPr>
        <w:t>1</w:t>
      </w:r>
      <w:r>
        <w:rPr>
          <w:rFonts w:ascii="仿宋" w:eastAsia="仿宋" w:hAnsi="仿宋" w:cs="仿宋" w:hint="eastAsia"/>
          <w:spacing w:val="-8"/>
          <w:sz w:val="32"/>
          <w:szCs w:val="32"/>
        </w:rPr>
        <w:t>名，研究生辅导员1名，分管学位与研究生教育副院长</w:t>
      </w:r>
      <w:r w:rsidR="0043137B">
        <w:rPr>
          <w:rFonts w:ascii="仿宋" w:eastAsia="仿宋" w:hAnsi="仿宋" w:cs="仿宋" w:hint="eastAsia"/>
          <w:spacing w:val="-8"/>
          <w:sz w:val="32"/>
          <w:szCs w:val="32"/>
        </w:rPr>
        <w:t>1</w:t>
      </w:r>
      <w:r>
        <w:rPr>
          <w:rFonts w:ascii="仿宋" w:eastAsia="仿宋" w:hAnsi="仿宋" w:cs="仿宋" w:hint="eastAsia"/>
          <w:spacing w:val="-8"/>
          <w:sz w:val="32"/>
          <w:szCs w:val="32"/>
        </w:rPr>
        <w:t>名，研究生教学秘书1名，为研究生教育教学提供有力的管理机制和人员保障。</w:t>
      </w:r>
    </w:p>
    <w:p w:rsidR="0060305F" w:rsidRDefault="00EB63B3">
      <w:pPr>
        <w:spacing w:line="500" w:lineRule="exact"/>
        <w:ind w:firstLine="560"/>
        <w:rPr>
          <w:rFonts w:ascii="仿宋" w:eastAsia="仿宋" w:hAnsi="仿宋" w:cs="仿宋"/>
          <w:color w:val="000000" w:themeColor="text1"/>
          <w:sz w:val="32"/>
          <w:szCs w:val="32"/>
        </w:rPr>
      </w:pPr>
      <w:r>
        <w:rPr>
          <w:rFonts w:ascii="仿宋" w:eastAsia="仿宋" w:hAnsi="仿宋" w:cs="仿宋" w:hint="eastAsia"/>
          <w:b/>
          <w:bCs/>
          <w:spacing w:val="-8"/>
          <w:sz w:val="32"/>
          <w:szCs w:val="32"/>
        </w:rPr>
        <w:t>（2）教学文件齐全，教学档案完整。</w:t>
      </w:r>
      <w:r>
        <w:rPr>
          <w:rFonts w:ascii="仿宋" w:eastAsia="仿宋" w:hAnsi="仿宋" w:cs="仿宋" w:hint="eastAsia"/>
          <w:color w:val="000000" w:themeColor="text1"/>
          <w:sz w:val="32"/>
          <w:szCs w:val="32"/>
        </w:rPr>
        <w:t>设有专门的档案室1间，规范管理教学文件和档案，将教学大纲、案例、教案、多媒体课件、试卷、开题报告、学位论文、社会实践报告及各种教学辅助材料等分类归档。</w:t>
      </w:r>
    </w:p>
    <w:p w:rsidR="0060305F" w:rsidRDefault="00EB63B3">
      <w:pPr>
        <w:spacing w:line="500" w:lineRule="exact"/>
        <w:ind w:firstLine="560"/>
        <w:rPr>
          <w:rFonts w:ascii="仿宋" w:eastAsia="仿宋" w:hAnsi="仿宋" w:cs="仿宋"/>
          <w:color w:val="000000" w:themeColor="text1"/>
          <w:sz w:val="32"/>
          <w:szCs w:val="32"/>
        </w:rPr>
      </w:pPr>
      <w:r>
        <w:rPr>
          <w:rFonts w:ascii="仿宋" w:eastAsia="仿宋" w:hAnsi="仿宋" w:cs="仿宋" w:hint="eastAsia"/>
          <w:b/>
          <w:bCs/>
          <w:spacing w:val="-8"/>
          <w:sz w:val="32"/>
          <w:szCs w:val="32"/>
        </w:rPr>
        <w:t>（3）教学管理制度健全。</w:t>
      </w:r>
      <w:r>
        <w:rPr>
          <w:rFonts w:ascii="仿宋" w:eastAsia="仿宋" w:hAnsi="仿宋" w:cs="仿宋" w:hint="eastAsia"/>
          <w:color w:val="000000" w:themeColor="text1"/>
          <w:sz w:val="32"/>
          <w:szCs w:val="32"/>
        </w:rPr>
        <w:t>严格执行课程审查、教学过程管理、个人培养计划变更等制度，教学方案和计划的变动遵循规定的程序。</w:t>
      </w:r>
    </w:p>
    <w:p w:rsidR="0060305F" w:rsidRDefault="00EB63B3">
      <w:pPr>
        <w:spacing w:line="500" w:lineRule="exact"/>
        <w:ind w:firstLine="560"/>
        <w:rPr>
          <w:rFonts w:ascii="仿宋" w:eastAsia="仿宋" w:hAnsi="仿宋" w:cs="仿宋"/>
          <w:color w:val="000000" w:themeColor="text1"/>
          <w:sz w:val="32"/>
          <w:szCs w:val="32"/>
        </w:rPr>
      </w:pPr>
      <w:r>
        <w:rPr>
          <w:rFonts w:ascii="仿宋" w:eastAsia="仿宋" w:hAnsi="仿宋" w:cs="仿宋" w:hint="eastAsia"/>
          <w:b/>
          <w:bCs/>
          <w:spacing w:val="-8"/>
          <w:sz w:val="32"/>
          <w:szCs w:val="32"/>
        </w:rPr>
        <w:t>（4）建立有效的教学与管理质量评估制度。</w:t>
      </w:r>
      <w:r>
        <w:rPr>
          <w:rFonts w:ascii="仿宋" w:eastAsia="仿宋" w:hAnsi="仿宋" w:cs="仿宋" w:hint="eastAsia"/>
          <w:color w:val="000000" w:themeColor="text1"/>
          <w:sz w:val="32"/>
          <w:szCs w:val="32"/>
        </w:rPr>
        <w:t>建立学生评教制度，向学生发放教学满意度调查表，100%学生参与所有课程评教，并把调查结果作为是否续聘的依据，重点考察任课教师的教学态度、内容、方法和效果，满意度达98.7%以上。每学期开展一次教学管理满意度调查，每年满意度均达97.6%以上；并每年至少召开1次师生共同参与的教学质量提升研讨会。</w:t>
      </w:r>
    </w:p>
    <w:p w:rsidR="0060305F" w:rsidRDefault="00EB63B3">
      <w:pPr>
        <w:pStyle w:val="2"/>
        <w:spacing w:beforeLines="50" w:before="120" w:afterLines="50" w:after="120" w:line="520" w:lineRule="exact"/>
        <w:ind w:firstLineChars="200" w:firstLine="643"/>
        <w:jc w:val="both"/>
        <w:rPr>
          <w:rFonts w:ascii="楷体" w:eastAsia="楷体" w:hAnsi="楷体" w:cs="楷体"/>
          <w:sz w:val="32"/>
          <w:szCs w:val="32"/>
        </w:rPr>
      </w:pPr>
      <w:bookmarkStart w:id="38" w:name="_Toc102656648"/>
      <w:bookmarkStart w:id="39" w:name="_Toc5304"/>
      <w:r>
        <w:rPr>
          <w:rFonts w:ascii="楷体" w:eastAsia="楷体" w:hAnsi="楷体" w:cs="楷体" w:hint="eastAsia"/>
          <w:sz w:val="32"/>
          <w:szCs w:val="32"/>
        </w:rPr>
        <w:t>（四）人才培养</w:t>
      </w:r>
      <w:bookmarkEnd w:id="38"/>
      <w:bookmarkEnd w:id="39"/>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40" w:name="_Toc102656649"/>
      <w:bookmarkStart w:id="41" w:name="_Toc16514"/>
      <w:r>
        <w:rPr>
          <w:rFonts w:ascii="仿宋" w:eastAsia="仿宋" w:hAnsi="仿宋" w:cs="仿宋" w:hint="eastAsia"/>
          <w:sz w:val="32"/>
        </w:rPr>
        <w:t>1.思想政治教育</w:t>
      </w:r>
      <w:bookmarkEnd w:id="40"/>
      <w:bookmarkEnd w:id="41"/>
    </w:p>
    <w:p w:rsidR="0060305F" w:rsidRDefault="0060305F">
      <w:pPr>
        <w:rPr>
          <w:rFonts w:ascii="Times New Roman" w:eastAsiaTheme="minorEastAsia" w:hAnsi="Times New Roman"/>
        </w:rPr>
      </w:pPr>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坚持以习近平新时代中国特色社会主义思想铸魂育人，以立德树人为根本，以强农兴农为己任，不断加强研究生思想政治工作。持续推动习近平新时代中国特色社会主义思想“大学习”热潮，把“大学习”与党史学习教育与学习贯彻习近平总书记“七一”重要讲话精神，与学习贯彻习近平总书记来闽考察重要讲话精神，与学习贯彻习近平总书记教育重要论述结合起来，组织了</w:t>
      </w:r>
      <w:r>
        <w:rPr>
          <w:rFonts w:ascii="仿宋" w:eastAsia="仿宋" w:hAnsi="仿宋" w:cs="仿宋" w:hint="eastAsia"/>
          <w:spacing w:val="-8"/>
          <w:sz w:val="32"/>
          <w:szCs w:val="32"/>
        </w:rPr>
        <w:lastRenderedPageBreak/>
        <w:t>多场党史学习教育专题党课和党史学习专题报告。积极推动“三全育人”综合改革试点，补短板，强弱项，夯实“十个育人”抓手。主动拓展网络线上教育阵地，形成政治学习、知识普及、典型事迹、专业服务、文体活动“五个上线”网络育人模式；形成以学院“自强之星”典型先进人物宣传为核心的“三宣”资助育人模式；创新研究生德育实施、考核方案为主“两方案”研究生管理育人机制；形成“四可”学生党员对话青春榜样为核心的理想信念教育的组织育人模式；实施“五项辅导”宿舍服务育人项目。</w:t>
      </w:r>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42" w:name="_Toc32448"/>
      <w:bookmarkStart w:id="43" w:name="_Toc102656650"/>
      <w:r>
        <w:rPr>
          <w:rFonts w:ascii="仿宋" w:eastAsia="仿宋" w:hAnsi="仿宋" w:cs="仿宋" w:hint="eastAsia"/>
          <w:sz w:val="32"/>
        </w:rPr>
        <w:t>2.师德师风建设</w:t>
      </w:r>
      <w:bookmarkEnd w:id="42"/>
      <w:bookmarkEnd w:id="43"/>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2021年，持续推动习近平新时代中国特色社会主义思想“大学习”热潮，把“大学习”与党史学习教育与学习贯彻习近平总书记“七一”重要讲话精神，与学习贯彻习近平总书记来闽考察重要讲话精神，与学习贯彻习近平总书记教育重要论述结合起来，落实好理论中心组学习、党课、教师政治理论学习等制度，将自学与集中研讨相结合、线上学习与线下学习相结合，教育引导广大教师不断增强落实立德树人根本任务，服务我省全方位推进高质量发展超越的思想自觉和行动自觉。</w:t>
      </w:r>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制定了学院《教师政治理论学习计划》，每个月组织教师开展政治理论学习，针对学习贯彻习近平总书记来闽考察重要讲话精神、习近平总书记给全国高校黄大年式教师团队代表回信精神、习近平总书记关于师德师</w:t>
      </w:r>
      <w:proofErr w:type="gramStart"/>
      <w:r>
        <w:rPr>
          <w:rFonts w:ascii="仿宋" w:eastAsia="仿宋" w:hAnsi="仿宋" w:cs="仿宋" w:hint="eastAsia"/>
          <w:spacing w:val="-8"/>
          <w:sz w:val="32"/>
          <w:szCs w:val="32"/>
        </w:rPr>
        <w:t>风重要</w:t>
      </w:r>
      <w:proofErr w:type="gramEnd"/>
      <w:r>
        <w:rPr>
          <w:rFonts w:ascii="仿宋" w:eastAsia="仿宋" w:hAnsi="仿宋" w:cs="仿宋" w:hint="eastAsia"/>
          <w:spacing w:val="-8"/>
          <w:sz w:val="32"/>
          <w:szCs w:val="32"/>
        </w:rPr>
        <w:t>论述等重点学习内容发布了学习提醒函6份；组织了习近平总书记“七一”重要讲话精神宣讲报告会1场；召开党委理论中心组学习会25次，组织党史学习教育读书班6次专题研讨；组织党委班子成员和党支部书记讲“中国共产党创立的背景、过程及伟大历史意义”、“锤炼初心使命</w:t>
      </w:r>
      <w:r>
        <w:rPr>
          <w:rFonts w:ascii="仿宋" w:eastAsia="仿宋" w:hAnsi="仿宋" w:cs="仿宋" w:hint="eastAsia"/>
          <w:spacing w:val="-8"/>
          <w:sz w:val="32"/>
          <w:szCs w:val="32"/>
        </w:rPr>
        <w:lastRenderedPageBreak/>
        <w:t>，传承红色精神”等党史学习教育专题党课22场次；组织了“学党史、增党性”、“牢记初心使命，争做四有好老师”、“弘扬光荣革命传统，赓续红色血脉——深入学习中国共产党人的精神谱系”等主题党日活动60多场次。开展师德师风专题学习教育，制定学院《师德师风专题教育方案》，组织开展了“全面贯彻党的教育方针”专题学习和深入学</w:t>
      </w:r>
      <w:proofErr w:type="gramStart"/>
      <w:r>
        <w:rPr>
          <w:rFonts w:ascii="仿宋" w:eastAsia="仿宋" w:hAnsi="仿宋" w:cs="仿宋" w:hint="eastAsia"/>
          <w:spacing w:val="-8"/>
          <w:sz w:val="32"/>
          <w:szCs w:val="32"/>
        </w:rPr>
        <w:t>习习近</w:t>
      </w:r>
      <w:proofErr w:type="gramEnd"/>
      <w:r>
        <w:rPr>
          <w:rFonts w:ascii="仿宋" w:eastAsia="仿宋" w:hAnsi="仿宋" w:cs="仿宋" w:hint="eastAsia"/>
          <w:spacing w:val="-8"/>
          <w:sz w:val="32"/>
          <w:szCs w:val="32"/>
        </w:rPr>
        <w:t>平总书记关于师德师风的重要论述等学习研讨10场次，举办师德专题教育交流分享会暨师德警示教育大会1场。</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不断健全师德师风建设机制</w:t>
      </w:r>
      <w:r>
        <w:rPr>
          <w:rFonts w:ascii="仿宋" w:eastAsia="仿宋" w:hAnsi="仿宋" w:cs="仿宋" w:hint="eastAsia"/>
          <w:spacing w:val="-8"/>
          <w:sz w:val="32"/>
          <w:szCs w:val="32"/>
        </w:rPr>
        <w:t>。对照上级教育评价改革精神，不断探索学院评价改革办法，完善学院治理体系，进一步制订了《公共管理学院教学型高级专业技术职务业绩排名办法》，修订了学院绩效分配办法等制度，重点解决在绩效分配方案中确立向教师、教学一线倾斜以及将论文数、项目经费“双脱钩”问题，着力克服“五唯”顽</w:t>
      </w:r>
      <w:proofErr w:type="gramStart"/>
      <w:r>
        <w:rPr>
          <w:rFonts w:ascii="仿宋" w:eastAsia="仿宋" w:hAnsi="仿宋" w:cs="仿宋" w:hint="eastAsia"/>
          <w:spacing w:val="-8"/>
          <w:sz w:val="32"/>
          <w:szCs w:val="32"/>
        </w:rPr>
        <w:t>瘴</w:t>
      </w:r>
      <w:proofErr w:type="gramEnd"/>
      <w:r>
        <w:rPr>
          <w:rFonts w:ascii="仿宋" w:eastAsia="仿宋" w:hAnsi="仿宋" w:cs="仿宋" w:hint="eastAsia"/>
          <w:spacing w:val="-8"/>
          <w:sz w:val="32"/>
          <w:szCs w:val="32"/>
        </w:rPr>
        <w:t>固疾，解决好教育“指挥棒”问题，以立德树人为导向，不断完善学院治理体系；开展师德师风年度考核，把教师师德师</w:t>
      </w:r>
      <w:proofErr w:type="gramStart"/>
      <w:r>
        <w:rPr>
          <w:rFonts w:ascii="仿宋" w:eastAsia="仿宋" w:hAnsi="仿宋" w:cs="仿宋" w:hint="eastAsia"/>
          <w:spacing w:val="-8"/>
          <w:sz w:val="32"/>
          <w:szCs w:val="32"/>
        </w:rPr>
        <w:t>风表现</w:t>
      </w:r>
      <w:proofErr w:type="gramEnd"/>
      <w:r>
        <w:rPr>
          <w:rFonts w:ascii="仿宋" w:eastAsia="仿宋" w:hAnsi="仿宋" w:cs="仿宋" w:hint="eastAsia"/>
          <w:spacing w:val="-8"/>
          <w:sz w:val="32"/>
          <w:szCs w:val="32"/>
        </w:rPr>
        <w:t>作为教职工年度考核的首要标准；开展师德师风和意识形态工作反向测评，对推荐评选“严家显最高奖教金”、评选校“优秀教师”、“优秀教育工作者”和职称晋升的老师进行师德师风和意识形态工作方向测评，2021年共测评32人次。</w:t>
      </w:r>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44" w:name="_Toc29795"/>
      <w:bookmarkStart w:id="45" w:name="_Toc102656651"/>
      <w:r>
        <w:rPr>
          <w:rFonts w:ascii="仿宋" w:eastAsia="仿宋" w:hAnsi="仿宋" w:cs="仿宋" w:hint="eastAsia"/>
          <w:sz w:val="32"/>
        </w:rPr>
        <w:t>3.招生选拔</w:t>
      </w:r>
      <w:bookmarkEnd w:id="44"/>
      <w:bookmarkEnd w:id="45"/>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以选拔优秀人才理念为核心，积极寻求在招生规模和生源质量上突破。加大对考生综合素质、发展潜能方面的考核力度，进一步深化研究生和导师双向选择，同时加大接收推免生的力度。2021年招收研究生44名，其中推免生3名，全国统考</w:t>
      </w:r>
      <w:proofErr w:type="gramStart"/>
      <w:r>
        <w:rPr>
          <w:rFonts w:ascii="仿宋" w:eastAsia="仿宋" w:hAnsi="仿宋" w:cs="仿宋" w:hint="eastAsia"/>
          <w:spacing w:val="-8"/>
          <w:sz w:val="32"/>
          <w:szCs w:val="32"/>
        </w:rPr>
        <w:t>一</w:t>
      </w:r>
      <w:proofErr w:type="gramEnd"/>
      <w:r>
        <w:rPr>
          <w:rFonts w:ascii="仿宋" w:eastAsia="仿宋" w:hAnsi="仿宋" w:cs="仿宋" w:hint="eastAsia"/>
          <w:spacing w:val="-8"/>
          <w:sz w:val="32"/>
          <w:szCs w:val="32"/>
        </w:rPr>
        <w:t>志愿上线</w:t>
      </w:r>
      <w:r>
        <w:rPr>
          <w:rFonts w:ascii="仿宋" w:eastAsia="仿宋" w:hAnsi="仿宋" w:cs="仿宋" w:hint="eastAsia"/>
          <w:spacing w:val="-8"/>
          <w:sz w:val="32"/>
          <w:szCs w:val="32"/>
        </w:rPr>
        <w:lastRenderedPageBreak/>
        <w:t>人数超过招生数一倍，最低录取分高过国家线35分，生源质量有较大提升。</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（1）加大招生宣传的力度，建立招生宣传长效机制</w:t>
      </w:r>
      <w:r>
        <w:rPr>
          <w:rFonts w:ascii="仿宋" w:eastAsia="仿宋" w:hAnsi="仿宋" w:cs="仿宋" w:hint="eastAsia"/>
          <w:spacing w:val="-8"/>
          <w:sz w:val="32"/>
          <w:szCs w:val="32"/>
        </w:rPr>
        <w:t>。通过开展学术会议、组组专家开展社会服务，发挥科研优势等统筹规划对外宣传，充分展示办学点办学实力和人才培养质量。建立相对稳定的招生宣传队伍，，充分利用电话、QQ、学院</w:t>
      </w:r>
      <w:proofErr w:type="gramStart"/>
      <w:r>
        <w:rPr>
          <w:rFonts w:ascii="仿宋" w:eastAsia="仿宋" w:hAnsi="仿宋" w:cs="仿宋" w:hint="eastAsia"/>
          <w:spacing w:val="-8"/>
          <w:sz w:val="32"/>
          <w:szCs w:val="32"/>
        </w:rPr>
        <w:t>官网以及微信公众号</w:t>
      </w:r>
      <w:proofErr w:type="gramEnd"/>
      <w:r>
        <w:rPr>
          <w:rFonts w:ascii="仿宋" w:eastAsia="仿宋" w:hAnsi="仿宋" w:cs="仿宋" w:hint="eastAsia"/>
          <w:spacing w:val="-8"/>
          <w:sz w:val="32"/>
          <w:szCs w:val="32"/>
        </w:rPr>
        <w:t>等渠道不断完善招生宣传。</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（2）规范招生工作，实施全过程监督。</w:t>
      </w:r>
      <w:r>
        <w:rPr>
          <w:rFonts w:ascii="仿宋" w:eastAsia="仿宋" w:hAnsi="仿宋" w:cs="仿宋" w:hint="eastAsia"/>
          <w:spacing w:val="-8"/>
          <w:sz w:val="32"/>
          <w:szCs w:val="32"/>
        </w:rPr>
        <w:t>围绕网络远程复试的新形式、新要求，制定了研究生复试录取工作实施细则、复试</w:t>
      </w:r>
      <w:proofErr w:type="gramStart"/>
      <w:r>
        <w:rPr>
          <w:rFonts w:ascii="仿宋" w:eastAsia="仿宋" w:hAnsi="仿宋" w:cs="仿宋" w:hint="eastAsia"/>
          <w:spacing w:val="-8"/>
          <w:sz w:val="32"/>
          <w:szCs w:val="32"/>
        </w:rPr>
        <w:t>试</w:t>
      </w:r>
      <w:proofErr w:type="gramEnd"/>
      <w:r>
        <w:rPr>
          <w:rFonts w:ascii="仿宋" w:eastAsia="仿宋" w:hAnsi="仿宋" w:cs="仿宋" w:hint="eastAsia"/>
          <w:spacing w:val="-8"/>
          <w:sz w:val="32"/>
          <w:szCs w:val="32"/>
        </w:rPr>
        <w:t>题库建设方案、远程复试考场规则等，规范复试录取工作的各个环节。学院实施多层次、多维度的培训方案，确保复试工作参与人员培训全覆盖；制定网络远程复试面试系统考生操作指南，实现考生远程复试设备调试标准化。认真执行“</w:t>
      </w:r>
      <w:proofErr w:type="gramStart"/>
      <w:r>
        <w:rPr>
          <w:rFonts w:ascii="仿宋" w:eastAsia="仿宋" w:hAnsi="仿宋" w:cs="仿宋" w:hint="eastAsia"/>
          <w:spacing w:val="-8"/>
          <w:sz w:val="32"/>
          <w:szCs w:val="32"/>
        </w:rPr>
        <w:t>一</w:t>
      </w:r>
      <w:proofErr w:type="gramEnd"/>
      <w:r>
        <w:rPr>
          <w:rFonts w:ascii="仿宋" w:eastAsia="仿宋" w:hAnsi="仿宋" w:cs="仿宋" w:hint="eastAsia"/>
          <w:spacing w:val="-8"/>
          <w:sz w:val="32"/>
          <w:szCs w:val="32"/>
        </w:rPr>
        <w:t>平台、两识别、三随机、四比对”的要求，采用“双机位”，全方位监控考生复试；执行考前对考生身份证、准考证与视频人像进行核验，确认考生身份真实；做到考生复试顺序、专家分组、试题抽取三随机，院党委纪检委员监督复试录取工作全过程，确保招生工作顺利进行。</w:t>
      </w:r>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46" w:name="_Toc25300"/>
      <w:bookmarkStart w:id="47" w:name="_Toc102656652"/>
      <w:r>
        <w:rPr>
          <w:rFonts w:ascii="仿宋" w:eastAsia="仿宋" w:hAnsi="仿宋" w:cs="仿宋" w:hint="eastAsia"/>
          <w:sz w:val="32"/>
        </w:rPr>
        <w:t>4.课程教学</w:t>
      </w:r>
      <w:bookmarkEnd w:id="46"/>
      <w:bookmarkEnd w:id="47"/>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（1）进一步凝练学科方向，优化培养方案。</w:t>
      </w:r>
      <w:r>
        <w:rPr>
          <w:rFonts w:ascii="仿宋" w:eastAsia="仿宋" w:hAnsi="仿宋" w:cs="仿宋" w:hint="eastAsia"/>
          <w:spacing w:val="-8"/>
          <w:sz w:val="32"/>
          <w:szCs w:val="32"/>
        </w:rPr>
        <w:t>突出核心课程设置，组织专家对培养方案进行充分论证，进一步修订和完善课程体系，优化培养方案。对</w:t>
      </w:r>
      <w:r>
        <w:rPr>
          <w:rFonts w:ascii="仿宋" w:eastAsia="仿宋" w:hAnsi="仿宋" w:cs="仿宋"/>
          <w:spacing w:val="-8"/>
          <w:sz w:val="32"/>
          <w:szCs w:val="32"/>
        </w:rPr>
        <w:t>研究方向进行动态调整，</w:t>
      </w:r>
      <w:r>
        <w:rPr>
          <w:rFonts w:ascii="仿宋" w:eastAsia="仿宋" w:hAnsi="仿宋" w:cs="仿宋" w:hint="eastAsia"/>
          <w:spacing w:val="-8"/>
          <w:sz w:val="32"/>
          <w:szCs w:val="32"/>
        </w:rPr>
        <w:t>2021级</w:t>
      </w:r>
      <w:r>
        <w:rPr>
          <w:rFonts w:ascii="仿宋" w:eastAsia="仿宋" w:hAnsi="仿宋" w:cs="仿宋"/>
          <w:spacing w:val="-8"/>
          <w:sz w:val="32"/>
          <w:szCs w:val="32"/>
        </w:rPr>
        <w:t>在国家和社会发展急需的公共安全</w:t>
      </w:r>
      <w:r>
        <w:rPr>
          <w:rFonts w:ascii="仿宋" w:eastAsia="仿宋" w:hAnsi="仿宋" w:cs="仿宋" w:hint="eastAsia"/>
          <w:spacing w:val="-8"/>
          <w:sz w:val="32"/>
          <w:szCs w:val="32"/>
        </w:rPr>
        <w:t>与应</w:t>
      </w:r>
      <w:r>
        <w:rPr>
          <w:rFonts w:ascii="仿宋" w:eastAsia="仿宋" w:hAnsi="仿宋" w:cs="仿宋"/>
          <w:spacing w:val="-8"/>
          <w:sz w:val="32"/>
          <w:szCs w:val="32"/>
        </w:rPr>
        <w:t>急管理领</w:t>
      </w:r>
      <w:r>
        <w:rPr>
          <w:rFonts w:ascii="仿宋" w:eastAsia="仿宋" w:hAnsi="仿宋" w:cs="仿宋" w:hint="eastAsia"/>
          <w:spacing w:val="-8"/>
          <w:sz w:val="32"/>
          <w:szCs w:val="32"/>
        </w:rPr>
        <w:t>域设</w:t>
      </w:r>
      <w:r>
        <w:rPr>
          <w:rFonts w:ascii="仿宋" w:eastAsia="仿宋" w:hAnsi="仿宋" w:cs="仿宋"/>
          <w:spacing w:val="-8"/>
          <w:sz w:val="32"/>
          <w:szCs w:val="32"/>
        </w:rPr>
        <w:t>置了研究方向。</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（2）积极发挥课程教学在研究生培养中的作用</w:t>
      </w:r>
      <w:r>
        <w:rPr>
          <w:rFonts w:ascii="仿宋" w:eastAsia="仿宋" w:hAnsi="仿宋" w:cs="仿宋" w:hint="eastAsia"/>
          <w:spacing w:val="-8"/>
          <w:sz w:val="32"/>
          <w:szCs w:val="32"/>
        </w:rPr>
        <w:t>。通过开设《公共管理前沿专题》等课程增强学术学位研究生课程内容前沿性；通过开设《统计分析与软件》、《质性研究方法》和论文写</w:t>
      </w:r>
      <w:r>
        <w:rPr>
          <w:rFonts w:ascii="仿宋" w:eastAsia="仿宋" w:hAnsi="仿宋" w:cs="仿宋" w:hint="eastAsia"/>
          <w:spacing w:val="-8"/>
          <w:sz w:val="32"/>
          <w:szCs w:val="32"/>
        </w:rPr>
        <w:lastRenderedPageBreak/>
        <w:t>作</w:t>
      </w:r>
      <w:proofErr w:type="gramStart"/>
      <w:r>
        <w:rPr>
          <w:rFonts w:ascii="仿宋" w:eastAsia="仿宋" w:hAnsi="仿宋" w:cs="仿宋" w:hint="eastAsia"/>
          <w:spacing w:val="-8"/>
          <w:sz w:val="32"/>
          <w:szCs w:val="32"/>
        </w:rPr>
        <w:t>指导类课等</w:t>
      </w:r>
      <w:proofErr w:type="gramEnd"/>
      <w:r>
        <w:rPr>
          <w:rFonts w:ascii="仿宋" w:eastAsia="仿宋" w:hAnsi="仿宋" w:cs="仿宋" w:hint="eastAsia"/>
          <w:spacing w:val="-8"/>
          <w:sz w:val="32"/>
          <w:szCs w:val="32"/>
        </w:rPr>
        <w:t>高质量课程学习强化研究生的科学方法训练和学术素养培养；增设了有特色的体育、美育类课程，帮助学生在体育锻炼中享受乐趣、增强体质，在美育教学中提升审美素养、激发创造创新活力。</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（3）利用优质教育资源，推进研究生教育国际化。</w:t>
      </w:r>
      <w:r>
        <w:rPr>
          <w:rFonts w:ascii="仿宋" w:eastAsia="仿宋" w:hAnsi="仿宋" w:cs="仿宋" w:hint="eastAsia"/>
          <w:spacing w:val="-8"/>
          <w:sz w:val="32"/>
          <w:szCs w:val="32"/>
        </w:rPr>
        <w:t>开设多门外语类选修课，并聘请美国奥本大学张耀启教授、牛津大学</w:t>
      </w:r>
      <w:r>
        <w:rPr>
          <w:rFonts w:ascii="仿宋" w:eastAsia="仿宋" w:hAnsi="仿宋" w:cs="仿宋"/>
          <w:spacing w:val="-8"/>
          <w:sz w:val="32"/>
          <w:szCs w:val="32"/>
        </w:rPr>
        <w:t xml:space="preserve">Jennifer </w:t>
      </w:r>
      <w:proofErr w:type="spellStart"/>
      <w:r>
        <w:rPr>
          <w:rFonts w:ascii="仿宋" w:eastAsia="仿宋" w:hAnsi="仿宋" w:cs="仿宋"/>
          <w:spacing w:val="-8"/>
          <w:sz w:val="32"/>
          <w:szCs w:val="32"/>
        </w:rPr>
        <w:t>Holdaway</w:t>
      </w:r>
      <w:proofErr w:type="spellEnd"/>
      <w:r>
        <w:rPr>
          <w:rFonts w:ascii="仿宋" w:eastAsia="仿宋" w:hAnsi="仿宋" w:cs="仿宋" w:hint="eastAsia"/>
          <w:spacing w:val="-8"/>
          <w:sz w:val="32"/>
          <w:szCs w:val="32"/>
        </w:rPr>
        <w:t>研究员等承担相关课程的英文教学工作。通过海峡公管讲坛、乡村振兴大讲堂，定期邀请国内外学者举办学术讲座，浓厚学术交流和研讨氛围，提升研究生课堂教学效果。</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（4）充分挖掘育人资源，</w:t>
      </w:r>
      <w:proofErr w:type="gramStart"/>
      <w:r>
        <w:rPr>
          <w:rFonts w:ascii="仿宋" w:eastAsia="仿宋" w:hAnsi="仿宋" w:cs="仿宋" w:hint="eastAsia"/>
          <w:b/>
          <w:bCs/>
          <w:spacing w:val="-8"/>
          <w:sz w:val="32"/>
          <w:szCs w:val="32"/>
        </w:rPr>
        <w:t>将思政元素</w:t>
      </w:r>
      <w:proofErr w:type="gramEnd"/>
      <w:r>
        <w:rPr>
          <w:rFonts w:ascii="仿宋" w:eastAsia="仿宋" w:hAnsi="仿宋" w:cs="仿宋" w:hint="eastAsia"/>
          <w:b/>
          <w:bCs/>
          <w:spacing w:val="-8"/>
          <w:sz w:val="32"/>
          <w:szCs w:val="32"/>
        </w:rPr>
        <w:t>融入专业课程体系。</w:t>
      </w:r>
      <w:r>
        <w:rPr>
          <w:rFonts w:ascii="仿宋" w:eastAsia="仿宋" w:hAnsi="仿宋" w:cs="仿宋" w:hint="eastAsia"/>
          <w:spacing w:val="-8"/>
          <w:sz w:val="32"/>
          <w:szCs w:val="32"/>
        </w:rPr>
        <w:t>找准课程教学的切入点，开展课程</w:t>
      </w:r>
      <w:proofErr w:type="gramStart"/>
      <w:r>
        <w:rPr>
          <w:rFonts w:ascii="仿宋" w:eastAsia="仿宋" w:hAnsi="仿宋" w:cs="仿宋" w:hint="eastAsia"/>
          <w:spacing w:val="-8"/>
          <w:sz w:val="32"/>
          <w:szCs w:val="32"/>
        </w:rPr>
        <w:t>思政教育</w:t>
      </w:r>
      <w:proofErr w:type="gramEnd"/>
      <w:r>
        <w:rPr>
          <w:rFonts w:ascii="仿宋" w:eastAsia="仿宋" w:hAnsi="仿宋" w:cs="仿宋" w:hint="eastAsia"/>
          <w:spacing w:val="-8"/>
          <w:sz w:val="32"/>
          <w:szCs w:val="32"/>
        </w:rPr>
        <w:t>教学改革和课程建设，强化思想理论教育和价值引领，开展一流研究生课程培育工作，资助5门课程建设，1门</w:t>
      </w:r>
      <w:proofErr w:type="gramStart"/>
      <w:r>
        <w:rPr>
          <w:rFonts w:ascii="仿宋" w:eastAsia="仿宋" w:hAnsi="仿宋" w:cs="仿宋" w:hint="eastAsia"/>
          <w:spacing w:val="-8"/>
          <w:sz w:val="32"/>
          <w:szCs w:val="32"/>
        </w:rPr>
        <w:t>课程获校思政</w:t>
      </w:r>
      <w:proofErr w:type="gramEnd"/>
      <w:r>
        <w:rPr>
          <w:rFonts w:ascii="仿宋" w:eastAsia="仿宋" w:hAnsi="仿宋" w:cs="仿宋" w:hint="eastAsia"/>
          <w:spacing w:val="-8"/>
          <w:sz w:val="32"/>
          <w:szCs w:val="32"/>
        </w:rPr>
        <w:t>示范课建设。</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（5）加强案例教学，改革教学内容和方式。</w:t>
      </w:r>
      <w:r>
        <w:rPr>
          <w:rFonts w:ascii="仿宋" w:eastAsia="仿宋" w:hAnsi="仿宋" w:cs="仿宋" w:hint="eastAsia"/>
          <w:spacing w:val="-8"/>
          <w:sz w:val="32"/>
          <w:szCs w:val="32"/>
        </w:rPr>
        <w:t>鼓励学术型和专业型硕士研究生共同参与案例研发，同时广泛动员研究生参与案例大赛。</w:t>
      </w:r>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48" w:name="_Toc18472"/>
      <w:bookmarkStart w:id="49" w:name="_Toc102656653"/>
      <w:r>
        <w:rPr>
          <w:rFonts w:ascii="仿宋" w:eastAsia="仿宋" w:hAnsi="仿宋" w:cs="仿宋" w:hint="eastAsia"/>
          <w:sz w:val="32"/>
        </w:rPr>
        <w:t>5.导师管理</w:t>
      </w:r>
      <w:bookmarkEnd w:id="48"/>
      <w:bookmarkEnd w:id="49"/>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（1）健全导师工作规范，引导教师认真教书育人。</w:t>
      </w:r>
      <w:r>
        <w:rPr>
          <w:rFonts w:ascii="仿宋" w:eastAsia="仿宋" w:hAnsi="仿宋" w:cs="仿宋" w:hint="eastAsia"/>
          <w:spacing w:val="-8"/>
          <w:sz w:val="32"/>
          <w:szCs w:val="32"/>
        </w:rPr>
        <w:t>进一步强化导师的思想政治教育责任，引导研究生树立正确的世界观人生观价值观，恪守学术道德规范，推进研究生培养模式和机制改革，提高研究生培养质量。充分发挥研究生导师的作用，积极推进研究生导师指导研究生开展“五个一”活动。组织开展了全国、全省研究生教育会议精神集中学习研讨会，围绕如何进一步提升研究生教育质量、深化研究生教育教学改革、加强研究生导师队伍建设等内容展开专题研讨，制订《公共管理学院研究生导师立德树人和指导行为考核评价实施办法（草案）》的意见。</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lastRenderedPageBreak/>
        <w:t>（2）严格导师准入制度，加强考核管理。</w:t>
      </w:r>
      <w:r>
        <w:rPr>
          <w:rFonts w:ascii="仿宋" w:eastAsia="仿宋" w:hAnsi="仿宋" w:cs="仿宋" w:hint="eastAsia"/>
          <w:spacing w:val="-8"/>
          <w:sz w:val="32"/>
          <w:szCs w:val="32"/>
        </w:rPr>
        <w:t>落实《公共管理学院硕士研究生指导教师招生资格认定与管理实施细则（试行）》，进一步优化导师遴选条件和程序，每年对导师进行招生资格进行认定，确保将政治素质过硬、师德师风高尚、业务素质精湛的教师吸纳进入导师队伍。2021年共新增4名学术型硕士生导师，认定在岗校内外</w:t>
      </w:r>
      <w:proofErr w:type="gramStart"/>
      <w:r>
        <w:rPr>
          <w:rFonts w:ascii="仿宋" w:eastAsia="仿宋" w:hAnsi="仿宋" w:cs="仿宋" w:hint="eastAsia"/>
          <w:spacing w:val="-8"/>
          <w:sz w:val="32"/>
          <w:szCs w:val="32"/>
        </w:rPr>
        <w:t>学术型硕导</w:t>
      </w:r>
      <w:proofErr w:type="gramEnd"/>
      <w:r>
        <w:rPr>
          <w:rFonts w:ascii="仿宋" w:eastAsia="仿宋" w:hAnsi="仿宋" w:cs="仿宋"/>
          <w:spacing w:val="-8"/>
          <w:sz w:val="32"/>
          <w:szCs w:val="32"/>
        </w:rPr>
        <w:t>32</w:t>
      </w:r>
      <w:r>
        <w:rPr>
          <w:rFonts w:ascii="仿宋" w:eastAsia="仿宋" w:hAnsi="仿宋" w:cs="仿宋" w:hint="eastAsia"/>
          <w:spacing w:val="-8"/>
          <w:sz w:val="32"/>
          <w:szCs w:val="32"/>
        </w:rPr>
        <w:t>人。修订了《公共管理学院硕士生导师招生名额分配办法》，进一步推进硕士生招生指标的规范化。确立了导师指导过程与指导结果双向监管的导师责任制。对不履行导师职责，难以保证培养质量的导师，减少或取消1-3年的招生资格。</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（3）持续开展导师能力提升工程。</w:t>
      </w:r>
      <w:r>
        <w:rPr>
          <w:rFonts w:ascii="仿宋" w:eastAsia="仿宋" w:hAnsi="仿宋" w:cs="仿宋" w:hint="eastAsia"/>
          <w:spacing w:val="-8"/>
          <w:sz w:val="32"/>
          <w:szCs w:val="32"/>
        </w:rPr>
        <w:t>增强导师责任意识和育人观念，帮助导师提高责任意识，明确导师岗位职责，提升育人水平。2021年通过线上、线下相结合的方式开展7场导师培训专题讲座。</w:t>
      </w:r>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50" w:name="_Toc27170"/>
      <w:bookmarkStart w:id="51" w:name="_Toc102656654"/>
      <w:r>
        <w:rPr>
          <w:rFonts w:ascii="仿宋" w:eastAsia="仿宋" w:hAnsi="仿宋" w:cs="仿宋" w:hint="eastAsia"/>
          <w:sz w:val="32"/>
        </w:rPr>
        <w:t>6.学术训练</w:t>
      </w:r>
      <w:bookmarkEnd w:id="50"/>
      <w:bookmarkEnd w:id="51"/>
    </w:p>
    <w:p w:rsidR="0060305F" w:rsidRDefault="00EB63B3">
      <w:pPr>
        <w:shd w:val="clear" w:color="auto" w:fill="FFFFFF"/>
        <w:spacing w:line="540" w:lineRule="exact"/>
        <w:ind w:firstLineChars="200" w:firstLine="608"/>
        <w:rPr>
          <w:rFonts w:ascii="仿宋" w:eastAsia="仿宋" w:hAnsi="仿宋" w:cs="仿宋"/>
          <w:spacing w:val="-8"/>
          <w:sz w:val="32"/>
          <w:szCs w:val="32"/>
        </w:rPr>
      </w:pPr>
      <w:r>
        <w:rPr>
          <w:rFonts w:ascii="仿宋" w:eastAsia="仿宋" w:hAnsi="仿宋" w:cs="仿宋" w:hint="eastAsia"/>
          <w:spacing w:val="-8"/>
          <w:sz w:val="32"/>
          <w:szCs w:val="32"/>
        </w:rPr>
        <w:t>学院着力培养研究生的理论研究能力和自主学习能力，针对研究生积极开展学术前沿、学术方法、学术道德三个方面的训练。</w:t>
      </w:r>
    </w:p>
    <w:p w:rsidR="0060305F" w:rsidRDefault="00EB63B3">
      <w:pPr>
        <w:shd w:val="clear" w:color="auto" w:fill="FFFFFF"/>
        <w:spacing w:line="540" w:lineRule="exact"/>
        <w:ind w:firstLineChars="200" w:firstLine="611"/>
        <w:rPr>
          <w:rFonts w:ascii="仿宋" w:eastAsia="仿宋" w:hAnsi="仿宋" w:cs="仿宋"/>
          <w:spacing w:val="-8"/>
          <w:sz w:val="32"/>
          <w:szCs w:val="32"/>
        </w:rPr>
      </w:pPr>
      <w:r>
        <w:rPr>
          <w:rFonts w:ascii="仿宋" w:eastAsia="仿宋" w:hAnsi="仿宋" w:cs="仿宋" w:hint="eastAsia"/>
          <w:b/>
          <w:bCs/>
          <w:spacing w:val="-8"/>
          <w:sz w:val="32"/>
          <w:szCs w:val="32"/>
        </w:rPr>
        <w:t>一是依托“海峡公管讲坛”、“乡村振兴大讲堂”等</w:t>
      </w:r>
      <w:r>
        <w:rPr>
          <w:rFonts w:ascii="仿宋" w:eastAsia="仿宋" w:hAnsi="仿宋" w:cs="Times New Roman" w:hint="eastAsia"/>
          <w:b/>
          <w:bCs/>
          <w:sz w:val="32"/>
          <w:szCs w:val="32"/>
        </w:rPr>
        <w:t>积极开展学术交流</w:t>
      </w:r>
      <w:r>
        <w:rPr>
          <w:rFonts w:ascii="仿宋" w:eastAsia="仿宋" w:hAnsi="仿宋" w:cs="Times New Roman" w:hint="eastAsia"/>
          <w:sz w:val="32"/>
          <w:szCs w:val="32"/>
        </w:rPr>
        <w:t>，邀请学科评议组成员、</w:t>
      </w:r>
      <w:proofErr w:type="gramStart"/>
      <w:r>
        <w:rPr>
          <w:rFonts w:ascii="仿宋" w:eastAsia="仿宋" w:hAnsi="仿宋" w:cs="Times New Roman" w:hint="eastAsia"/>
          <w:sz w:val="32"/>
          <w:szCs w:val="32"/>
        </w:rPr>
        <w:t>教指委</w:t>
      </w:r>
      <w:proofErr w:type="gramEnd"/>
      <w:r>
        <w:rPr>
          <w:rFonts w:ascii="仿宋" w:eastAsia="仿宋" w:hAnsi="仿宋" w:cs="Times New Roman" w:hint="eastAsia"/>
          <w:sz w:val="32"/>
          <w:szCs w:val="32"/>
        </w:rPr>
        <w:t>委员等知名专家学者举办了19场学术论坛。先后承办了福建省社科界学术年会“四个自信与现代化建设新征程”分论坛、“新征程与新福建治理现代化”分论坛，以及党的领导与城乡社区共同体建设论坛等，增进学生对学术前沿问题的把握与思考</w:t>
      </w:r>
      <w:r>
        <w:rPr>
          <w:rFonts w:ascii="仿宋" w:eastAsia="仿宋" w:hAnsi="仿宋" w:cs="仿宋" w:hint="eastAsia"/>
          <w:spacing w:val="-8"/>
          <w:sz w:val="32"/>
          <w:szCs w:val="32"/>
        </w:rPr>
        <w:t>。</w:t>
      </w:r>
    </w:p>
    <w:p w:rsidR="0060305F" w:rsidRDefault="00EB63B3">
      <w:pPr>
        <w:shd w:val="clear" w:color="auto" w:fill="FFFFFF"/>
        <w:spacing w:line="540" w:lineRule="exact"/>
        <w:ind w:firstLineChars="200" w:firstLine="611"/>
        <w:rPr>
          <w:rFonts w:ascii="仿宋" w:eastAsia="仿宋" w:hAnsi="仿宋" w:cs="仿宋"/>
          <w:spacing w:val="-8"/>
          <w:sz w:val="32"/>
          <w:szCs w:val="32"/>
        </w:rPr>
      </w:pPr>
      <w:r>
        <w:rPr>
          <w:rFonts w:ascii="仿宋" w:eastAsia="仿宋" w:hAnsi="仿宋" w:cs="仿宋" w:hint="eastAsia"/>
          <w:b/>
          <w:bCs/>
          <w:spacing w:val="-8"/>
          <w:sz w:val="32"/>
          <w:szCs w:val="32"/>
        </w:rPr>
        <w:t>二是以重大科研项目为平台，积极推进研究生学术方法训练工作有序化。</w:t>
      </w:r>
      <w:r>
        <w:rPr>
          <w:rFonts w:ascii="仿宋" w:eastAsia="仿宋" w:hAnsi="仿宋" w:cs="仿宋" w:hint="eastAsia"/>
          <w:spacing w:val="-8"/>
          <w:sz w:val="32"/>
          <w:szCs w:val="32"/>
        </w:rPr>
        <w:t>以导师引领，积极建设研究生科研创新团队，营造</w:t>
      </w:r>
      <w:r>
        <w:rPr>
          <w:rFonts w:ascii="仿宋" w:eastAsia="仿宋" w:hAnsi="仿宋" w:cs="仿宋" w:hint="eastAsia"/>
          <w:spacing w:val="-8"/>
          <w:sz w:val="32"/>
          <w:szCs w:val="32"/>
        </w:rPr>
        <w:lastRenderedPageBreak/>
        <w:t>学术氛围。不定期开展组织研究生学术讨论会，推进研究生查阅中外文献方法训练、学术信息加工方法训练、学术表达方法训练等。</w:t>
      </w:r>
    </w:p>
    <w:p w:rsidR="0060305F" w:rsidRDefault="00EB63B3">
      <w:pPr>
        <w:shd w:val="clear" w:color="auto" w:fill="FFFFFF"/>
        <w:spacing w:line="540" w:lineRule="exact"/>
        <w:ind w:firstLineChars="200" w:firstLine="611"/>
        <w:rPr>
          <w:rFonts w:ascii="仿宋" w:eastAsia="仿宋" w:hAnsi="仿宋" w:cs="Times New Roman"/>
          <w:sz w:val="32"/>
          <w:szCs w:val="32"/>
        </w:rPr>
      </w:pPr>
      <w:r>
        <w:rPr>
          <w:rFonts w:ascii="仿宋" w:eastAsia="仿宋" w:hAnsi="仿宋" w:cs="仿宋" w:hint="eastAsia"/>
          <w:b/>
          <w:bCs/>
          <w:spacing w:val="-8"/>
          <w:sz w:val="32"/>
          <w:szCs w:val="32"/>
        </w:rPr>
        <w:t>三是注重培养研究生科研能力和创新能力</w:t>
      </w:r>
      <w:r>
        <w:rPr>
          <w:rFonts w:ascii="仿宋" w:eastAsia="仿宋" w:hAnsi="仿宋" w:cs="仿宋" w:hint="eastAsia"/>
          <w:spacing w:val="-8"/>
          <w:sz w:val="32"/>
          <w:szCs w:val="32"/>
        </w:rPr>
        <w:t>，支持将科研成果转化应用，推动产学研用紧密结合，鼓励学生参加创新创业比赛，提升研究生创新创业能力。</w:t>
      </w:r>
      <w:r>
        <w:rPr>
          <w:rFonts w:ascii="仿宋" w:eastAsia="仿宋" w:hAnsi="仿宋" w:cs="Times New Roman" w:hint="eastAsia"/>
          <w:sz w:val="32"/>
          <w:szCs w:val="32"/>
        </w:rPr>
        <w:t>1支队伍获第五届全国大学生不动产估价技能大赛三等奖，1支队伍获全国高校商业精英挑战赛“致教杯”跨境电</w:t>
      </w:r>
      <w:proofErr w:type="gramStart"/>
      <w:r>
        <w:rPr>
          <w:rFonts w:ascii="仿宋" w:eastAsia="仿宋" w:hAnsi="仿宋" w:cs="Times New Roman" w:hint="eastAsia"/>
          <w:sz w:val="32"/>
          <w:szCs w:val="32"/>
        </w:rPr>
        <w:t>商创新</w:t>
      </w:r>
      <w:proofErr w:type="gramEnd"/>
      <w:r>
        <w:rPr>
          <w:rFonts w:ascii="仿宋" w:eastAsia="仿宋" w:hAnsi="仿宋" w:cs="Times New Roman" w:hint="eastAsia"/>
          <w:sz w:val="32"/>
          <w:szCs w:val="32"/>
        </w:rPr>
        <w:t>实践大赛全国总决赛一等奖，1支队伍在中国大学生人力资源职业技能大赛中获团体2A级奖，2个项目获第七届福建省“互联网+”大学生创新创业大赛铜奖。</w:t>
      </w:r>
    </w:p>
    <w:p w:rsidR="0060305F" w:rsidRDefault="00EB63B3">
      <w:pPr>
        <w:shd w:val="clear" w:color="auto" w:fill="FFFFFF"/>
        <w:spacing w:line="540" w:lineRule="exact"/>
        <w:ind w:firstLineChars="200" w:firstLine="611"/>
        <w:rPr>
          <w:rFonts w:ascii="仿宋" w:eastAsia="仿宋" w:hAnsi="仿宋" w:cs="仿宋"/>
          <w:spacing w:val="-8"/>
          <w:sz w:val="32"/>
          <w:szCs w:val="32"/>
        </w:rPr>
      </w:pPr>
      <w:r>
        <w:rPr>
          <w:rFonts w:ascii="仿宋" w:eastAsia="仿宋" w:hAnsi="仿宋" w:cs="仿宋" w:hint="eastAsia"/>
          <w:b/>
          <w:bCs/>
          <w:spacing w:val="-8"/>
          <w:sz w:val="32"/>
          <w:szCs w:val="32"/>
        </w:rPr>
        <w:t>四是以学风教育为抓手，培养研究生严谨认真的求学态度和求真务实的科学精神</w:t>
      </w:r>
      <w:r>
        <w:rPr>
          <w:rFonts w:ascii="仿宋" w:eastAsia="仿宋" w:hAnsi="仿宋" w:cs="仿宋" w:hint="eastAsia"/>
          <w:spacing w:val="-8"/>
          <w:sz w:val="32"/>
          <w:szCs w:val="32"/>
        </w:rPr>
        <w:t>。由导师指导研究生恪守学术道德规范，倡导研究生开展学术道德及学风教育，引导研究生树立正确的学术道德观念。</w:t>
      </w:r>
      <w:r>
        <w:rPr>
          <w:rFonts w:ascii="仿宋" w:eastAsia="仿宋" w:hAnsi="仿宋" w:cs="Times New Roman" w:hint="eastAsia"/>
          <w:sz w:val="32"/>
          <w:szCs w:val="32"/>
        </w:rPr>
        <w:t>研究生全年公开发表论文</w:t>
      </w:r>
      <w:r>
        <w:rPr>
          <w:rFonts w:ascii="仿宋" w:eastAsia="仿宋" w:hAnsi="仿宋" w:cs="Times New Roman"/>
          <w:sz w:val="32"/>
          <w:szCs w:val="32"/>
        </w:rPr>
        <w:t>38</w:t>
      </w:r>
      <w:r>
        <w:rPr>
          <w:rFonts w:ascii="仿宋" w:eastAsia="仿宋" w:hAnsi="仿宋" w:cs="Times New Roman" w:hint="eastAsia"/>
          <w:sz w:val="32"/>
          <w:szCs w:val="32"/>
        </w:rPr>
        <w:t>篇，其中CSSCI来源期刊、CSCD核心期刊论文</w:t>
      </w:r>
      <w:r>
        <w:rPr>
          <w:rFonts w:ascii="仿宋" w:eastAsia="仿宋" w:hAnsi="仿宋" w:cs="Times New Roman"/>
          <w:sz w:val="32"/>
          <w:szCs w:val="32"/>
        </w:rPr>
        <w:t>8</w:t>
      </w:r>
      <w:r>
        <w:rPr>
          <w:rFonts w:ascii="仿宋" w:eastAsia="仿宋" w:hAnsi="仿宋" w:cs="Times New Roman" w:hint="eastAsia"/>
          <w:sz w:val="32"/>
          <w:szCs w:val="32"/>
        </w:rPr>
        <w:t>篇、北大核心3篇；</w:t>
      </w:r>
      <w:r>
        <w:rPr>
          <w:rFonts w:ascii="仿宋" w:eastAsia="仿宋" w:hAnsi="仿宋" w:cs="仿宋" w:hint="eastAsia"/>
          <w:spacing w:val="-8"/>
          <w:sz w:val="32"/>
          <w:szCs w:val="32"/>
        </w:rPr>
        <w:t>获“案例中心杯”第五届全国公共管理研究生案例大赛二等奖1项，</w:t>
      </w:r>
      <w:r>
        <w:rPr>
          <w:rFonts w:ascii="仿宋" w:eastAsia="仿宋" w:hAnsi="仿宋" w:cs="仿宋" w:hint="eastAsia"/>
          <w:bCs/>
          <w:spacing w:val="-8"/>
          <w:sz w:val="32"/>
          <w:szCs w:val="32"/>
        </w:rPr>
        <w:t>福建省公共管理案例大赛一等奖2项，二等奖3项，三等奖5项，优秀奖9项</w:t>
      </w:r>
      <w:r>
        <w:rPr>
          <w:rFonts w:ascii="仿宋" w:eastAsia="仿宋" w:hAnsi="仿宋" w:cs="仿宋" w:hint="eastAsia"/>
          <w:spacing w:val="-8"/>
          <w:sz w:val="32"/>
          <w:szCs w:val="32"/>
        </w:rPr>
        <w:t>。</w:t>
      </w:r>
    </w:p>
    <w:p w:rsidR="0060305F" w:rsidRDefault="00EB63B3">
      <w:pPr>
        <w:pStyle w:val="2"/>
        <w:spacing w:beforeLines="50" w:before="120" w:afterLines="50" w:after="120" w:line="520" w:lineRule="exact"/>
        <w:ind w:firstLineChars="200" w:firstLine="643"/>
        <w:jc w:val="both"/>
        <w:rPr>
          <w:rFonts w:ascii="楷体" w:eastAsia="楷体" w:hAnsi="楷体" w:cs="楷体"/>
          <w:sz w:val="32"/>
          <w:szCs w:val="32"/>
        </w:rPr>
      </w:pPr>
      <w:bookmarkStart w:id="52" w:name="_Toc8832"/>
      <w:bookmarkStart w:id="53" w:name="_Toc102656655"/>
      <w:r>
        <w:rPr>
          <w:rFonts w:ascii="楷体" w:eastAsia="楷体" w:hAnsi="楷体" w:cs="楷体" w:hint="eastAsia"/>
          <w:sz w:val="32"/>
          <w:szCs w:val="32"/>
        </w:rPr>
        <w:t>（五）质量监控</w:t>
      </w:r>
      <w:bookmarkEnd w:id="52"/>
      <w:bookmarkEnd w:id="53"/>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54" w:name="_Toc102656656"/>
      <w:bookmarkStart w:id="55" w:name="_Toc8696"/>
      <w:r>
        <w:rPr>
          <w:rFonts w:ascii="仿宋" w:eastAsia="仿宋" w:hAnsi="仿宋" w:cs="仿宋" w:hint="eastAsia"/>
          <w:sz w:val="32"/>
        </w:rPr>
        <w:t>1.分流淘汰</w:t>
      </w:r>
      <w:bookmarkEnd w:id="54"/>
      <w:bookmarkEnd w:id="55"/>
    </w:p>
    <w:p w:rsidR="0060305F" w:rsidRDefault="00EB63B3">
      <w:pPr>
        <w:spacing w:line="331" w:lineRule="auto"/>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加强研究生培养过程管理，进一步规范研究生培养各环节考核流程，严格执行《福建农林大学学术型研究生开题执行的暂行规定》《福建农林大学学术型研究生中期考核办法》《福建农林大学硕博连读研究生选拔办法》。通过中期考核对研究生的学习和科研进行全面检查，未通过中期考核的研究生进行分流淘汰。中期考核合格后才能进入论文写作阶段，中期考核优秀的研究生</w:t>
      </w:r>
      <w:r>
        <w:rPr>
          <w:rFonts w:ascii="仿宋" w:eastAsia="仿宋" w:hAnsi="仿宋" w:cs="仿宋" w:hint="eastAsia"/>
          <w:spacing w:val="-8"/>
          <w:sz w:val="32"/>
          <w:szCs w:val="32"/>
        </w:rPr>
        <w:lastRenderedPageBreak/>
        <w:t>可以申请提前</w:t>
      </w:r>
      <w:proofErr w:type="gramStart"/>
      <w:r>
        <w:rPr>
          <w:rFonts w:ascii="仿宋" w:eastAsia="仿宋" w:hAnsi="仿宋" w:cs="仿宋" w:hint="eastAsia"/>
          <w:spacing w:val="-8"/>
          <w:sz w:val="32"/>
          <w:szCs w:val="32"/>
        </w:rPr>
        <w:t>毕业及硕博</w:t>
      </w:r>
      <w:proofErr w:type="gramEnd"/>
      <w:r>
        <w:rPr>
          <w:rFonts w:ascii="仿宋" w:eastAsia="仿宋" w:hAnsi="仿宋" w:cs="仿宋" w:hint="eastAsia"/>
          <w:spacing w:val="-8"/>
          <w:sz w:val="32"/>
          <w:szCs w:val="32"/>
        </w:rPr>
        <w:t>连读。2021年，未出现中期考核不合格的情况。</w:t>
      </w:r>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56" w:name="_Toc102656657"/>
      <w:bookmarkStart w:id="57" w:name="_Toc24458"/>
      <w:r>
        <w:rPr>
          <w:rFonts w:ascii="仿宋" w:eastAsia="仿宋" w:hAnsi="仿宋" w:cs="仿宋" w:hint="eastAsia"/>
          <w:sz w:val="32"/>
        </w:rPr>
        <w:t>2.学位论文</w:t>
      </w:r>
      <w:bookmarkEnd w:id="56"/>
      <w:bookmarkEnd w:id="57"/>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公共管理学院起草了《福建农林大学公共管理学院硕士学位论文过程管理办法》，抓住学位论文选题、开题论证、中期考核、评阅、答辩、学位评定等关键环节对研究生学位论文研究的进展督促和质量把关作用，进一步规范研究生培养各环节考核流程，强化过程管理，明确考核要求。健全学术不端行为的防范与惩处机制。对学术不端行为实施评奖评优、学位授予一票否决制；强化导师对研究生论文发表、论文送审的知情权、监督权与责任担当；开展专项检查，推动学位授予工作中学术道德与学术规范建设。进一步细分压实研究生、导师、学位论文答辩委员会、学位评定委员会等在保证学位论文质量方面的责任。近两年，</w:t>
      </w:r>
      <w:proofErr w:type="gramStart"/>
      <w:r>
        <w:rPr>
          <w:rFonts w:ascii="仿宋" w:eastAsia="仿宋" w:hAnsi="仿宋" w:cs="仿宋" w:hint="eastAsia"/>
          <w:spacing w:val="-8"/>
          <w:sz w:val="32"/>
          <w:szCs w:val="32"/>
        </w:rPr>
        <w:t>盲审的</w:t>
      </w:r>
      <w:proofErr w:type="gramEnd"/>
      <w:r>
        <w:rPr>
          <w:rFonts w:ascii="仿宋" w:eastAsia="仿宋" w:hAnsi="仿宋" w:cs="仿宋" w:hint="eastAsia"/>
          <w:spacing w:val="-8"/>
          <w:sz w:val="32"/>
          <w:szCs w:val="32"/>
        </w:rPr>
        <w:t>论文获得同行专家较高评价，共有3篇学位论文获得校级优秀硕士学位论文。</w:t>
      </w:r>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58" w:name="_Toc4564"/>
      <w:bookmarkStart w:id="59" w:name="_Toc102656658"/>
      <w:r>
        <w:rPr>
          <w:rFonts w:ascii="仿宋" w:eastAsia="仿宋" w:hAnsi="仿宋" w:cs="仿宋" w:hint="eastAsia"/>
          <w:sz w:val="32"/>
        </w:rPr>
        <w:t>3.学风教育</w:t>
      </w:r>
      <w:bookmarkEnd w:id="58"/>
      <w:bookmarkEnd w:id="59"/>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全过程强化学风教育。将学风和学术道德作为入学教育重要内容，精设计、准发力、求实效，牢固树立育人为本、因材施教的思想，全面实施学风建设系统工程，制定了一系列学风建设举措，培养素质高、基础厚、能力强，具有创新精神的高层次复合型人才。</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（1）底线教育：建设学风道德制度。</w:t>
      </w:r>
      <w:r>
        <w:rPr>
          <w:rFonts w:ascii="仿宋" w:eastAsia="仿宋" w:hAnsi="仿宋" w:cs="仿宋" w:hint="eastAsia"/>
          <w:spacing w:val="-8"/>
          <w:sz w:val="32"/>
          <w:szCs w:val="32"/>
        </w:rPr>
        <w:t xml:space="preserve">每年 5 </w:t>
      </w:r>
      <w:proofErr w:type="gramStart"/>
      <w:r>
        <w:rPr>
          <w:rFonts w:ascii="仿宋" w:eastAsia="仿宋" w:hAnsi="仿宋" w:cs="仿宋" w:hint="eastAsia"/>
          <w:spacing w:val="-8"/>
          <w:sz w:val="32"/>
          <w:szCs w:val="32"/>
        </w:rPr>
        <w:t>月开展</w:t>
      </w:r>
      <w:proofErr w:type="gramEnd"/>
      <w:r>
        <w:rPr>
          <w:rFonts w:ascii="仿宋" w:eastAsia="仿宋" w:hAnsi="仿宋" w:cs="仿宋" w:hint="eastAsia"/>
          <w:spacing w:val="-8"/>
          <w:sz w:val="32"/>
          <w:szCs w:val="32"/>
        </w:rPr>
        <w:t>科学道德和学风教育月主题教育活动，将对学风道德的建设宣传贯穿研究生的学习与生活日常，引导学生树立正确观念、严守学风底线，培育良好的教风、学风。凡课程作业抄袭，以不及格处理；凡</w:t>
      </w:r>
      <w:r>
        <w:rPr>
          <w:rFonts w:ascii="仿宋" w:eastAsia="仿宋" w:hAnsi="仿宋" w:cs="仿宋" w:hint="eastAsia"/>
          <w:spacing w:val="-8"/>
          <w:sz w:val="32"/>
          <w:szCs w:val="32"/>
        </w:rPr>
        <w:lastRenderedPageBreak/>
        <w:t>旷课、迟到、早退等，按校规校纪严肃处理。对研究生学术不端行为零容忍，严格执行学位论文检测办法，重复率超过 20% （含20%），一律取消答辩资格。充分发挥导师第一责任人的作用，协助做好学生工作。通过加强学风道德制度建设，扭转学术研究的功利导向与浮躁风气，为师生教研工作和学习的开展营造风清气正的科研环境。</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（2）高线引领：树立崇高学术理想。</w:t>
      </w:r>
      <w:r>
        <w:rPr>
          <w:rFonts w:ascii="仿宋" w:eastAsia="仿宋" w:hAnsi="仿宋" w:cs="仿宋" w:hint="eastAsia"/>
          <w:spacing w:val="-8"/>
          <w:sz w:val="32"/>
          <w:szCs w:val="32"/>
        </w:rPr>
        <w:t>研究生入学之初，邀请本院资深教授为新生开办学科介绍讲座，分析未来的学科前沿发展方向，鼓励研究生树立崇高学术理想、勇攀学术高峰。在学期间，学院邀请知名专家学者，围绕学生论文写作技巧、学界热点话题等主题举办学术讲座，通过对专业知识和技能的学习打好坚实的专业基础，鼓励学生在扎实专业的基础上拓宽视野、坚定创新自信、主动担当作为，始终保持对未知领域的好奇心和探索激情，跳出舒适区、勇蹚深水区、敢闯“无人区”，用专业知识真正解决实际问题，不断向科学技术广度和深度进军。</w:t>
      </w:r>
    </w:p>
    <w:p w:rsidR="0060305F" w:rsidRDefault="00EB63B3">
      <w:pPr>
        <w:spacing w:line="520" w:lineRule="exact"/>
        <w:ind w:firstLineChars="200" w:firstLine="611"/>
        <w:jc w:val="both"/>
        <w:rPr>
          <w:rFonts w:ascii="仿宋" w:eastAsia="仿宋" w:hAnsi="仿宋" w:cs="仿宋"/>
          <w:spacing w:val="-8"/>
          <w:sz w:val="32"/>
          <w:szCs w:val="32"/>
        </w:rPr>
      </w:pPr>
      <w:r>
        <w:rPr>
          <w:rFonts w:ascii="仿宋" w:eastAsia="仿宋" w:hAnsi="仿宋" w:cs="仿宋" w:hint="eastAsia"/>
          <w:b/>
          <w:bCs/>
          <w:spacing w:val="-8"/>
          <w:sz w:val="32"/>
          <w:szCs w:val="32"/>
        </w:rPr>
        <w:t>（3）朋辈激励：砥砺学术志趣。</w:t>
      </w:r>
      <w:r>
        <w:rPr>
          <w:rFonts w:ascii="仿宋" w:eastAsia="仿宋" w:hAnsi="仿宋" w:cs="仿宋" w:hint="eastAsia"/>
          <w:spacing w:val="-8"/>
          <w:sz w:val="32"/>
          <w:szCs w:val="32"/>
        </w:rPr>
        <w:t>开展优秀校友沙龙讲座，邀请学有所成的优秀校友与在校学生进行交流，搭建了生生帮扶的平台，实现学业帮扶精细化，助推优良学风建设。开展先进典型表彰和宣传活动，对每一年度各方面表现突出的同学进行表彰，以榜样的力量引领人，以朋辈的事迹教育人。</w:t>
      </w:r>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60" w:name="_Toc7465"/>
      <w:bookmarkStart w:id="61" w:name="_Toc102656659"/>
      <w:r>
        <w:rPr>
          <w:rFonts w:ascii="仿宋" w:eastAsia="仿宋" w:hAnsi="仿宋" w:cs="仿宋" w:hint="eastAsia"/>
          <w:sz w:val="32"/>
        </w:rPr>
        <w:t>4.就业发展</w:t>
      </w:r>
      <w:bookmarkEnd w:id="60"/>
      <w:bookmarkEnd w:id="61"/>
    </w:p>
    <w:p w:rsidR="0060305F" w:rsidRDefault="00EB63B3">
      <w:pPr>
        <w:spacing w:line="520" w:lineRule="exact"/>
        <w:ind w:firstLineChars="200" w:firstLine="608"/>
        <w:rPr>
          <w:rFonts w:ascii="仿宋" w:eastAsia="仿宋" w:hAnsi="仿宋" w:cs="仿宋"/>
          <w:spacing w:val="-8"/>
          <w:sz w:val="32"/>
          <w:szCs w:val="32"/>
        </w:rPr>
      </w:pPr>
      <w:bookmarkStart w:id="62" w:name="_Toc11008"/>
      <w:r>
        <w:rPr>
          <w:rFonts w:ascii="仿宋" w:eastAsia="仿宋" w:hAnsi="仿宋" w:cs="仿宋" w:hint="eastAsia"/>
          <w:spacing w:val="-8"/>
          <w:sz w:val="32"/>
          <w:szCs w:val="32"/>
        </w:rPr>
        <w:t>2021届公共管理硕士毕业生有35名，就业率85.7%，其中27名同学已升学或从事本专业相关工作，18名同学签订就业协议（包括劳动合同），1名同学从事地方基层项目。在单位类型分布上，有2名同学在党政机关单位工作，占5.7%；6名同学在高等教育单位工作，占17.1%；3名同学在国有企业工作，占8.5%；5名</w:t>
      </w:r>
      <w:r>
        <w:rPr>
          <w:rFonts w:ascii="仿宋" w:eastAsia="仿宋" w:hAnsi="仿宋" w:cs="仿宋" w:hint="eastAsia"/>
          <w:spacing w:val="-8"/>
          <w:sz w:val="32"/>
          <w:szCs w:val="32"/>
        </w:rPr>
        <w:lastRenderedPageBreak/>
        <w:t>同学在民营企业工作，占14.3%；3名同学在三资企业工作，占8.5%。毕业生就业积极，就业涉及面广。8名学术型硕士生升学，占22.9%。其中雷俊华同学考取中山大学博士研究生；杨思宇同学考取西南交通大学博士研究生；</w:t>
      </w:r>
      <w:proofErr w:type="gramStart"/>
      <w:r>
        <w:rPr>
          <w:rFonts w:ascii="仿宋" w:eastAsia="仿宋" w:hAnsi="仿宋" w:cs="仿宋" w:hint="eastAsia"/>
          <w:spacing w:val="-8"/>
          <w:sz w:val="32"/>
          <w:szCs w:val="32"/>
        </w:rPr>
        <w:t>高孟菲</w:t>
      </w:r>
      <w:proofErr w:type="gramEnd"/>
      <w:r>
        <w:rPr>
          <w:rFonts w:ascii="仿宋" w:eastAsia="仿宋" w:hAnsi="仿宋" w:cs="仿宋" w:hint="eastAsia"/>
          <w:spacing w:val="-8"/>
          <w:sz w:val="32"/>
          <w:szCs w:val="32"/>
        </w:rPr>
        <w:t>考取南京农业大学博士研究生；柳建玲同学考取华中农业大学博士研究生；李胜鹏同学考取中国地质大学博士研究生；孙煌同学考取中国矿业大学博士研究生；郑晓敏同学考取东北大学博士研究生和章子</w:t>
      </w:r>
      <w:proofErr w:type="gramStart"/>
      <w:r>
        <w:rPr>
          <w:rFonts w:ascii="仿宋" w:eastAsia="仿宋" w:hAnsi="仿宋" w:cs="仿宋" w:hint="eastAsia"/>
          <w:spacing w:val="-8"/>
          <w:sz w:val="32"/>
          <w:szCs w:val="32"/>
        </w:rPr>
        <w:t>豪</w:t>
      </w:r>
      <w:proofErr w:type="gramEnd"/>
      <w:r>
        <w:rPr>
          <w:rFonts w:ascii="仿宋" w:eastAsia="仿宋" w:hAnsi="仿宋" w:cs="仿宋" w:hint="eastAsia"/>
          <w:spacing w:val="-8"/>
          <w:sz w:val="32"/>
          <w:szCs w:val="32"/>
        </w:rPr>
        <w:t>同学考取福州大学博士研究生。</w:t>
      </w:r>
    </w:p>
    <w:p w:rsidR="0060305F" w:rsidRDefault="00EB63B3">
      <w:pPr>
        <w:pStyle w:val="1"/>
        <w:spacing w:beforeLines="50" w:before="120" w:afterLines="50" w:after="120" w:line="520" w:lineRule="exact"/>
        <w:ind w:firstLineChars="200" w:firstLine="643"/>
        <w:jc w:val="both"/>
        <w:rPr>
          <w:rFonts w:ascii="仿宋" w:eastAsia="仿宋" w:hAnsi="仿宋" w:cs="仿宋"/>
          <w:spacing w:val="-8"/>
          <w:sz w:val="32"/>
          <w:szCs w:val="32"/>
        </w:rPr>
      </w:pPr>
      <w:bookmarkStart w:id="63" w:name="_Toc102656660"/>
      <w:r>
        <w:rPr>
          <w:rFonts w:ascii="黑体" w:eastAsia="黑体" w:hAnsi="黑体" w:cs="黑体" w:hint="eastAsia"/>
          <w:sz w:val="32"/>
          <w:szCs w:val="32"/>
        </w:rPr>
        <w:t>二、工作特色与成效</w:t>
      </w:r>
      <w:bookmarkEnd w:id="62"/>
      <w:bookmarkEnd w:id="63"/>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本一级学科为福建省重点学科、高原学科, 具有鲜明的研究特色和区域特色，在人才培养、科学研究、服务国家和地方重大战略需求上</w:t>
      </w:r>
      <w:proofErr w:type="gramStart"/>
      <w:r>
        <w:rPr>
          <w:rFonts w:ascii="仿宋" w:eastAsia="仿宋" w:hAnsi="仿宋" w:cs="仿宋" w:hint="eastAsia"/>
          <w:spacing w:val="-8"/>
          <w:sz w:val="32"/>
          <w:szCs w:val="32"/>
        </w:rPr>
        <w:t>作出</w:t>
      </w:r>
      <w:proofErr w:type="gramEnd"/>
      <w:r>
        <w:rPr>
          <w:rFonts w:ascii="仿宋" w:eastAsia="仿宋" w:hAnsi="仿宋" w:cs="仿宋" w:hint="eastAsia"/>
          <w:spacing w:val="-8"/>
          <w:sz w:val="32"/>
          <w:szCs w:val="32"/>
        </w:rPr>
        <w:t>了积极贡献。</w:t>
      </w:r>
    </w:p>
    <w:p w:rsidR="0060305F" w:rsidRDefault="00EB63B3">
      <w:pPr>
        <w:pStyle w:val="2"/>
        <w:spacing w:beforeLines="50" w:before="120" w:afterLines="50" w:after="120" w:line="520" w:lineRule="exact"/>
        <w:ind w:firstLineChars="200" w:firstLine="643"/>
        <w:jc w:val="both"/>
        <w:rPr>
          <w:rFonts w:ascii="楷体" w:eastAsia="楷体" w:hAnsi="楷体" w:cs="楷体"/>
          <w:sz w:val="32"/>
          <w:szCs w:val="32"/>
        </w:rPr>
      </w:pPr>
      <w:bookmarkStart w:id="64" w:name="_Toc90906415"/>
      <w:bookmarkStart w:id="65" w:name="_Toc28324"/>
      <w:bookmarkStart w:id="66" w:name="_Toc102656661"/>
      <w:r>
        <w:rPr>
          <w:rFonts w:ascii="楷体" w:eastAsia="楷体" w:hAnsi="楷体" w:cs="楷体" w:hint="eastAsia"/>
          <w:sz w:val="32"/>
          <w:szCs w:val="32"/>
        </w:rPr>
        <w:t>（一）研究生导师立德树</w:t>
      </w:r>
      <w:bookmarkEnd w:id="64"/>
      <w:r>
        <w:rPr>
          <w:rFonts w:ascii="楷体" w:eastAsia="楷体" w:hAnsi="楷体" w:cs="楷体"/>
          <w:sz w:val="32"/>
          <w:szCs w:val="32"/>
        </w:rPr>
        <w:t>人履职成</w:t>
      </w:r>
      <w:bookmarkEnd w:id="65"/>
      <w:r>
        <w:rPr>
          <w:rFonts w:ascii="楷体" w:eastAsia="楷体" w:hAnsi="楷体" w:cs="楷体"/>
          <w:sz w:val="32"/>
          <w:szCs w:val="32"/>
        </w:rPr>
        <w:t>效明显</w:t>
      </w:r>
      <w:bookmarkEnd w:id="66"/>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开展科学道德与学风建设活动3场，导师每学期开展组织一次“科学道德与学风建设”主题讨论一次，每学期至少与研究生进行三次谈心谈话，每学期至少与研究生进行2次学术研讨，积极鼓励研究生参加学术交流活动。每年对研究生导师进行考核评价。导师立德树人考核优良，未出现违反导师行为规范的事件。</w:t>
      </w:r>
    </w:p>
    <w:p w:rsidR="0060305F" w:rsidRDefault="00EB63B3">
      <w:pPr>
        <w:pStyle w:val="2"/>
        <w:spacing w:beforeLines="50" w:before="120" w:afterLines="50" w:after="120" w:line="520" w:lineRule="exact"/>
        <w:ind w:firstLineChars="200" w:firstLine="643"/>
        <w:jc w:val="both"/>
        <w:rPr>
          <w:rFonts w:ascii="楷体" w:eastAsia="楷体" w:hAnsi="楷体" w:cs="楷体"/>
          <w:sz w:val="32"/>
          <w:szCs w:val="32"/>
        </w:rPr>
      </w:pPr>
      <w:bookmarkStart w:id="67" w:name="_Toc9772"/>
      <w:bookmarkStart w:id="68" w:name="_Toc90906418"/>
      <w:bookmarkStart w:id="69" w:name="_Toc102656662"/>
      <w:r>
        <w:rPr>
          <w:rFonts w:ascii="楷体" w:eastAsia="楷体" w:hAnsi="楷体" w:cs="楷体" w:hint="eastAsia"/>
          <w:sz w:val="32"/>
          <w:szCs w:val="32"/>
        </w:rPr>
        <w:t>（二）不</w:t>
      </w:r>
      <w:r>
        <w:rPr>
          <w:rFonts w:ascii="楷体" w:eastAsia="楷体" w:hAnsi="楷体" w:cs="楷体"/>
          <w:sz w:val="32"/>
          <w:szCs w:val="32"/>
        </w:rPr>
        <w:t>断健全研究生教育</w:t>
      </w:r>
      <w:r>
        <w:rPr>
          <w:rFonts w:ascii="楷体" w:eastAsia="楷体" w:hAnsi="楷体" w:cs="楷体" w:hint="eastAsia"/>
          <w:sz w:val="32"/>
          <w:szCs w:val="32"/>
        </w:rPr>
        <w:t>质量保障体系</w:t>
      </w:r>
      <w:bookmarkEnd w:id="67"/>
      <w:bookmarkEnd w:id="68"/>
      <w:bookmarkEnd w:id="69"/>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坚持以研究生成长成才为中心，落实立德树人根本任务，紧紧围绕提高教育教学质量，走内涵式发展道路。每年修订培养方案必须经过同行论证，专家组中至少50%的成员是国务院学科评议组成员或全国MPA</w:t>
      </w:r>
      <w:proofErr w:type="gramStart"/>
      <w:r>
        <w:rPr>
          <w:rFonts w:ascii="仿宋" w:eastAsia="仿宋" w:hAnsi="仿宋" w:cs="仿宋" w:hint="eastAsia"/>
          <w:spacing w:val="-8"/>
          <w:sz w:val="32"/>
          <w:szCs w:val="32"/>
        </w:rPr>
        <w:t>教指委</w:t>
      </w:r>
      <w:proofErr w:type="gramEnd"/>
      <w:r>
        <w:rPr>
          <w:rFonts w:ascii="仿宋" w:eastAsia="仿宋" w:hAnsi="仿宋" w:cs="仿宋" w:hint="eastAsia"/>
          <w:spacing w:val="-8"/>
          <w:sz w:val="32"/>
          <w:szCs w:val="32"/>
        </w:rPr>
        <w:t>委员。每门课程必须制订教学大纲，并经教授委员会审议后实施。建立同行督导+学生评教+领导检查的组合式督导体系，保证课程教学质量。鼓励教师开展教学研究</w:t>
      </w:r>
      <w:r>
        <w:rPr>
          <w:rFonts w:ascii="仿宋" w:eastAsia="仿宋" w:hAnsi="仿宋" w:cs="仿宋" w:hint="eastAsia"/>
          <w:spacing w:val="-8"/>
          <w:sz w:val="32"/>
          <w:szCs w:val="32"/>
        </w:rPr>
        <w:lastRenderedPageBreak/>
        <w:t>和改革，获批福建农林大学研究生教育改革项目3项。修订学位论文管理办法，增设选题评审、二次开题、二次预答辩等环节，开展优秀论文专项资助，切实提高论文质量，被推荐参评福建省优秀硕士论文1篇。</w:t>
      </w:r>
    </w:p>
    <w:p w:rsidR="0060305F" w:rsidRDefault="00EB63B3">
      <w:pPr>
        <w:pStyle w:val="2"/>
        <w:spacing w:beforeLines="50" w:before="120" w:afterLines="50" w:after="120" w:line="520" w:lineRule="exact"/>
        <w:ind w:firstLineChars="200" w:firstLine="643"/>
        <w:jc w:val="both"/>
        <w:rPr>
          <w:rFonts w:ascii="楷体" w:eastAsia="楷体" w:hAnsi="楷体" w:cs="楷体"/>
          <w:sz w:val="32"/>
          <w:szCs w:val="32"/>
        </w:rPr>
      </w:pPr>
      <w:bookmarkStart w:id="70" w:name="_Toc102656663"/>
      <w:bookmarkStart w:id="71" w:name="_Toc23147"/>
      <w:r>
        <w:rPr>
          <w:rFonts w:ascii="楷体" w:eastAsia="楷体" w:hAnsi="楷体" w:cs="楷体" w:hint="eastAsia"/>
          <w:sz w:val="32"/>
          <w:szCs w:val="32"/>
        </w:rPr>
        <w:t>（三）逐步完善以德智体美劳全面发展为目标的人才培养方案</w:t>
      </w:r>
      <w:bookmarkEnd w:id="70"/>
      <w:bookmarkEnd w:id="71"/>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开展研究生“德善敬公”主题教育，不断强化思想引领。加强实践育人。组织暑期“三下乡”社会实践队17支。形成调研报告19份，走访农户363 户、发放宣传资料共计1582份、宣讲及讲座共17场次、受益群众 4000多人，123篇报道</w:t>
      </w:r>
      <w:proofErr w:type="gramStart"/>
      <w:r>
        <w:rPr>
          <w:rFonts w:ascii="仿宋" w:eastAsia="仿宋" w:hAnsi="仿宋" w:cs="仿宋" w:hint="eastAsia"/>
          <w:spacing w:val="-8"/>
          <w:sz w:val="32"/>
          <w:szCs w:val="32"/>
        </w:rPr>
        <w:t>稿获得</w:t>
      </w:r>
      <w:proofErr w:type="gramEnd"/>
      <w:r>
        <w:rPr>
          <w:rFonts w:ascii="仿宋" w:eastAsia="仿宋" w:hAnsi="仿宋" w:cs="仿宋" w:hint="eastAsia"/>
          <w:spacing w:val="-8"/>
          <w:sz w:val="32"/>
          <w:szCs w:val="32"/>
        </w:rPr>
        <w:t>了中国网、新华社等媒体报道，其中有全国级媒体报道46篇。获2021年全国“千校千项”活动优秀团队1支、福建省高校“美丽乡村”直播挑战赛银奖1项，被推荐参加全国“三下乡”优秀品牌项目1项。举办</w:t>
      </w:r>
      <w:proofErr w:type="gramStart"/>
      <w:r>
        <w:rPr>
          <w:rFonts w:ascii="仿宋" w:eastAsia="仿宋" w:hAnsi="仿宋" w:cs="仿宋" w:hint="eastAsia"/>
          <w:spacing w:val="-8"/>
          <w:sz w:val="32"/>
          <w:szCs w:val="32"/>
        </w:rPr>
        <w:t>学院周</w:t>
      </w:r>
      <w:proofErr w:type="gramEnd"/>
      <w:r>
        <w:rPr>
          <w:rFonts w:ascii="仿宋" w:eastAsia="仿宋" w:hAnsi="仿宋" w:cs="仿宋" w:hint="eastAsia"/>
          <w:spacing w:val="-8"/>
          <w:sz w:val="32"/>
          <w:szCs w:val="32"/>
        </w:rPr>
        <w:t>等一系列文体活动，推进学生德智体美劳全面发展。</w:t>
      </w:r>
    </w:p>
    <w:p w:rsidR="0060305F" w:rsidRDefault="00EB63B3">
      <w:pPr>
        <w:pStyle w:val="2"/>
        <w:spacing w:beforeLines="50" w:before="120" w:afterLines="50" w:after="120" w:line="520" w:lineRule="exact"/>
        <w:ind w:firstLineChars="200" w:firstLine="643"/>
        <w:jc w:val="both"/>
        <w:rPr>
          <w:rFonts w:ascii="楷体" w:eastAsia="楷体" w:hAnsi="楷体" w:cs="楷体"/>
          <w:sz w:val="32"/>
          <w:szCs w:val="32"/>
        </w:rPr>
      </w:pPr>
      <w:bookmarkStart w:id="72" w:name="_Toc102656664"/>
      <w:bookmarkStart w:id="73" w:name="_Toc18071"/>
      <w:r>
        <w:rPr>
          <w:rFonts w:ascii="楷体" w:eastAsia="楷体" w:hAnsi="楷体" w:cs="楷体" w:hint="eastAsia"/>
          <w:sz w:val="32"/>
          <w:szCs w:val="32"/>
        </w:rPr>
        <w:t>（四）积极拓展对外合作办学</w:t>
      </w:r>
      <w:bookmarkEnd w:id="72"/>
      <w:bookmarkEnd w:id="73"/>
    </w:p>
    <w:p w:rsidR="0060305F" w:rsidRDefault="00EB63B3">
      <w:pPr>
        <w:spacing w:line="520" w:lineRule="exact"/>
        <w:ind w:firstLineChars="200" w:firstLine="608"/>
        <w:jc w:val="both"/>
      </w:pPr>
      <w:r>
        <w:rPr>
          <w:rFonts w:ascii="仿宋" w:eastAsia="仿宋" w:hAnsi="仿宋" w:cs="仿宋" w:hint="eastAsia"/>
          <w:spacing w:val="-8"/>
          <w:sz w:val="32"/>
          <w:szCs w:val="32"/>
        </w:rPr>
        <w:t>与福建警察学院公安管理系联合培养公共管理专业硕士，拓宽研究领域。新增中澳新乡村生态修复与环境提升复合应用型人才联合培养项目，可以选派研究生出国交换学习。</w:t>
      </w:r>
    </w:p>
    <w:p w:rsidR="0060305F" w:rsidRDefault="00EB63B3">
      <w:pPr>
        <w:pStyle w:val="1"/>
        <w:spacing w:beforeLines="50" w:before="120" w:afterLines="50" w:after="120" w:line="520" w:lineRule="exact"/>
        <w:ind w:firstLineChars="200" w:firstLine="643"/>
        <w:jc w:val="both"/>
        <w:rPr>
          <w:rFonts w:ascii="黑体" w:eastAsia="黑体" w:hAnsi="黑体" w:cs="黑体"/>
          <w:sz w:val="32"/>
          <w:szCs w:val="32"/>
        </w:rPr>
      </w:pPr>
      <w:bookmarkStart w:id="74" w:name="_Toc23303"/>
      <w:bookmarkStart w:id="75" w:name="_Toc102656665"/>
      <w:r>
        <w:rPr>
          <w:rFonts w:ascii="黑体" w:eastAsia="黑体" w:hAnsi="黑体" w:cs="黑体" w:hint="eastAsia"/>
          <w:sz w:val="32"/>
          <w:szCs w:val="32"/>
        </w:rPr>
        <w:t>三、学位点建设存在的主要问题和不足</w:t>
      </w:r>
      <w:bookmarkEnd w:id="74"/>
      <w:bookmarkEnd w:id="75"/>
    </w:p>
    <w:p w:rsidR="0060305F" w:rsidRDefault="00EB63B3">
      <w:pPr>
        <w:pStyle w:val="2"/>
        <w:spacing w:beforeLines="50" w:before="120" w:afterLines="50" w:after="120" w:line="520" w:lineRule="exact"/>
        <w:ind w:firstLineChars="200" w:firstLine="643"/>
        <w:jc w:val="both"/>
        <w:rPr>
          <w:rFonts w:ascii="楷体" w:eastAsia="楷体" w:hAnsi="楷体" w:cs="楷体"/>
          <w:sz w:val="32"/>
          <w:szCs w:val="32"/>
        </w:rPr>
      </w:pPr>
      <w:bookmarkStart w:id="76" w:name="_Toc30667"/>
      <w:bookmarkStart w:id="77" w:name="_Toc102656666"/>
      <w:r>
        <w:rPr>
          <w:rFonts w:ascii="楷体" w:eastAsia="楷体" w:hAnsi="楷体" w:cs="楷体" w:hint="eastAsia"/>
          <w:sz w:val="32"/>
          <w:szCs w:val="32"/>
        </w:rPr>
        <w:t>（一）学科特色不够鲜明</w:t>
      </w:r>
      <w:bookmarkEnd w:id="76"/>
      <w:bookmarkEnd w:id="77"/>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学科内高层次人才不足，在国内有影响力的学科领军人才短缺，高水平的创新团队和学术群体不足。学科与农林类专业的深度融合不够，学科特色不够鲜明。</w:t>
      </w:r>
    </w:p>
    <w:p w:rsidR="0060305F" w:rsidRDefault="00EB63B3">
      <w:pPr>
        <w:pStyle w:val="2"/>
        <w:spacing w:beforeLines="50" w:before="120" w:afterLines="50" w:after="120" w:line="520" w:lineRule="exact"/>
        <w:ind w:firstLineChars="200" w:firstLine="643"/>
        <w:jc w:val="both"/>
        <w:rPr>
          <w:rFonts w:ascii="楷体" w:eastAsia="楷体" w:hAnsi="楷体" w:cs="楷体"/>
          <w:sz w:val="32"/>
          <w:szCs w:val="32"/>
        </w:rPr>
      </w:pPr>
      <w:bookmarkStart w:id="78" w:name="_Toc9335"/>
      <w:bookmarkStart w:id="79" w:name="_Toc102656667"/>
      <w:r>
        <w:rPr>
          <w:rFonts w:ascii="楷体" w:eastAsia="楷体" w:hAnsi="楷体" w:cs="楷体" w:hint="eastAsia"/>
          <w:sz w:val="32"/>
          <w:szCs w:val="32"/>
        </w:rPr>
        <w:lastRenderedPageBreak/>
        <w:t>（二）</w:t>
      </w:r>
      <w:bookmarkStart w:id="80" w:name="_Toc8699"/>
      <w:bookmarkEnd w:id="78"/>
      <w:r>
        <w:rPr>
          <w:rFonts w:ascii="楷体" w:eastAsia="楷体" w:hAnsi="楷体" w:cs="楷体" w:hint="eastAsia"/>
          <w:sz w:val="32"/>
          <w:szCs w:val="32"/>
        </w:rPr>
        <w:t>对外开放办学广度和深度不够</w:t>
      </w:r>
      <w:bookmarkEnd w:id="79"/>
      <w:bookmarkEnd w:id="80"/>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与国（境）</w:t>
      </w:r>
      <w:proofErr w:type="gramStart"/>
      <w:r>
        <w:rPr>
          <w:rFonts w:ascii="仿宋" w:eastAsia="仿宋" w:hAnsi="仿宋" w:cs="仿宋" w:hint="eastAsia"/>
          <w:spacing w:val="-8"/>
          <w:sz w:val="32"/>
          <w:szCs w:val="32"/>
        </w:rPr>
        <w:t>外大学</w:t>
      </w:r>
      <w:proofErr w:type="gramEnd"/>
      <w:r>
        <w:rPr>
          <w:rFonts w:ascii="仿宋" w:eastAsia="仿宋" w:hAnsi="仿宋" w:cs="仿宋" w:hint="eastAsia"/>
          <w:spacing w:val="-8"/>
          <w:sz w:val="32"/>
          <w:szCs w:val="32"/>
        </w:rPr>
        <w:t>实质性合作招生、联合培养研究生等对外合作办学项目不多，教师队伍中具有国际学术经历和学术背景的人才偏少，国际化合作平台有待拓展，学生国际化交流不足；与国内一流大学的合作有待加强，需要加大力度引进高层次学术资源。</w:t>
      </w:r>
    </w:p>
    <w:p w:rsidR="0060305F" w:rsidRDefault="00EB63B3">
      <w:pPr>
        <w:pStyle w:val="1"/>
        <w:spacing w:beforeLines="50" w:before="120" w:afterLines="50" w:after="120" w:line="520" w:lineRule="exact"/>
        <w:ind w:firstLineChars="200" w:firstLine="643"/>
        <w:jc w:val="both"/>
        <w:rPr>
          <w:rFonts w:ascii="黑体" w:eastAsia="黑体" w:hAnsi="黑体" w:cs="黑体"/>
          <w:sz w:val="32"/>
          <w:szCs w:val="32"/>
        </w:rPr>
      </w:pPr>
      <w:bookmarkStart w:id="81" w:name="_Toc102656668"/>
      <w:bookmarkStart w:id="82" w:name="_Toc14729"/>
      <w:r>
        <w:rPr>
          <w:rFonts w:ascii="黑体" w:eastAsia="黑体" w:hAnsi="黑体" w:cs="黑体" w:hint="eastAsia"/>
          <w:sz w:val="32"/>
          <w:szCs w:val="32"/>
        </w:rPr>
        <w:t>四、下一年度建设计划</w:t>
      </w:r>
      <w:bookmarkEnd w:id="81"/>
      <w:bookmarkEnd w:id="82"/>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83" w:name="_Toc102656669"/>
      <w:bookmarkStart w:id="84" w:name="_Toc4684"/>
      <w:r>
        <w:rPr>
          <w:rFonts w:ascii="楷体" w:eastAsia="楷体" w:hAnsi="楷体" w:cs="楷体" w:hint="eastAsia"/>
          <w:sz w:val="32"/>
        </w:rPr>
        <w:t>（一）</w:t>
      </w:r>
      <w:r>
        <w:rPr>
          <w:rFonts w:ascii="仿宋" w:eastAsia="仿宋" w:hAnsi="仿宋" w:cs="仿宋" w:hint="eastAsia"/>
          <w:sz w:val="32"/>
        </w:rPr>
        <w:t>不断加强党对学院工作的全面领导</w:t>
      </w:r>
      <w:bookmarkEnd w:id="83"/>
      <w:bookmarkEnd w:id="84"/>
    </w:p>
    <w:p w:rsidR="0060305F" w:rsidRDefault="00EB63B3">
      <w:pPr>
        <w:spacing w:line="52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坚持以习近平新时代中国特色社会主义思想为指导，深入贯彻落</w:t>
      </w:r>
      <w:proofErr w:type="gramStart"/>
      <w:r>
        <w:rPr>
          <w:rFonts w:ascii="仿宋" w:eastAsia="仿宋" w:hAnsi="仿宋" w:cs="仿宋" w:hint="eastAsia"/>
          <w:color w:val="000000" w:themeColor="text1"/>
          <w:sz w:val="32"/>
          <w:szCs w:val="32"/>
        </w:rPr>
        <w:t>实习近</w:t>
      </w:r>
      <w:proofErr w:type="gramEnd"/>
      <w:r>
        <w:rPr>
          <w:rFonts w:ascii="仿宋" w:eastAsia="仿宋" w:hAnsi="仿宋" w:cs="仿宋" w:hint="eastAsia"/>
          <w:color w:val="000000" w:themeColor="text1"/>
          <w:sz w:val="32"/>
          <w:szCs w:val="32"/>
        </w:rPr>
        <w:t>平总书记教育重要论述，贯彻党委领导下的校长负责制实施细则，落实好学院党委会、党政联席会议议事规则等，把党的领导贯穿在学院工作的各个环节，为公共管理学科建设与改革发展稳定各项工作提供坚强保障。</w:t>
      </w:r>
    </w:p>
    <w:p w:rsidR="0060305F" w:rsidRDefault="00EB63B3">
      <w:pPr>
        <w:pStyle w:val="3"/>
        <w:spacing w:beforeLines="50" w:before="120" w:afterLines="50" w:after="120" w:line="520" w:lineRule="exact"/>
        <w:ind w:firstLineChars="150" w:firstLine="482"/>
        <w:rPr>
          <w:rFonts w:ascii="仿宋" w:eastAsia="仿宋" w:hAnsi="仿宋" w:cs="仿宋"/>
          <w:sz w:val="32"/>
        </w:rPr>
      </w:pPr>
      <w:bookmarkStart w:id="85" w:name="_Toc102656670"/>
      <w:bookmarkStart w:id="86" w:name="_Toc28925"/>
      <w:r>
        <w:rPr>
          <w:rFonts w:ascii="楷体" w:eastAsia="楷体" w:hAnsi="楷体" w:cs="楷体" w:hint="eastAsia"/>
          <w:sz w:val="32"/>
        </w:rPr>
        <w:t>（二）</w:t>
      </w:r>
      <w:r>
        <w:rPr>
          <w:rFonts w:ascii="仿宋" w:eastAsia="仿宋" w:hAnsi="仿宋" w:cs="仿宋" w:hint="eastAsia"/>
          <w:sz w:val="32"/>
        </w:rPr>
        <w:t>优化布局结构，加强学科建设,提升学科整体实力</w:t>
      </w:r>
      <w:bookmarkEnd w:id="85"/>
      <w:bookmarkEnd w:id="86"/>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对标“双一流”建设目标，以学科建设为龙头，调整优化专业结构，凝练学科发展方向，提升学科建设的整体水平，促进学科专业均衡发展。按照响应战略、问题导向、补充短板、突出特色、分类建设、优化环境的总体思路来推进学位点建设工作；梳理现有学位点在师资、成果、项目、平台、人才培养和社会服务方面的问题短板和优势特色，力争新增公共管理学术学位博士学位授权点。积极开展学科交流，创造良好的学科发展环境。主动融入主流，</w:t>
      </w:r>
      <w:proofErr w:type="gramStart"/>
      <w:r>
        <w:rPr>
          <w:rFonts w:ascii="仿宋" w:eastAsia="仿宋" w:hAnsi="仿宋" w:cs="仿宋" w:hint="eastAsia"/>
          <w:spacing w:val="-8"/>
          <w:sz w:val="32"/>
          <w:szCs w:val="32"/>
        </w:rPr>
        <w:t>做优做</w:t>
      </w:r>
      <w:proofErr w:type="gramEnd"/>
      <w:r>
        <w:rPr>
          <w:rFonts w:ascii="仿宋" w:eastAsia="仿宋" w:hAnsi="仿宋" w:cs="仿宋" w:hint="eastAsia"/>
          <w:spacing w:val="-8"/>
          <w:sz w:val="32"/>
          <w:szCs w:val="32"/>
        </w:rPr>
        <w:t>强特色，持续推进公共管理高原学科建设，推进基层应急管理交叉学科建设，以高质量学科建设持续引领推动学院高质量发展。</w:t>
      </w:r>
    </w:p>
    <w:p w:rsidR="0060305F" w:rsidRDefault="00EB63B3">
      <w:pPr>
        <w:pStyle w:val="3"/>
        <w:spacing w:beforeLines="50" w:before="120" w:afterLines="50" w:after="120" w:line="520" w:lineRule="exact"/>
        <w:ind w:firstLineChars="150" w:firstLine="482"/>
        <w:rPr>
          <w:rFonts w:ascii="仿宋" w:eastAsia="仿宋" w:hAnsi="仿宋" w:cs="仿宋"/>
          <w:sz w:val="32"/>
        </w:rPr>
      </w:pPr>
      <w:bookmarkStart w:id="87" w:name="_Toc785"/>
      <w:bookmarkStart w:id="88" w:name="_Toc102656671"/>
      <w:r>
        <w:rPr>
          <w:rFonts w:ascii="楷体" w:eastAsia="楷体" w:hAnsi="楷体" w:cs="楷体" w:hint="eastAsia"/>
          <w:sz w:val="32"/>
        </w:rPr>
        <w:lastRenderedPageBreak/>
        <w:t>（三）</w:t>
      </w:r>
      <w:r>
        <w:rPr>
          <w:rFonts w:ascii="仿宋" w:eastAsia="仿宋" w:hAnsi="仿宋" w:cs="仿宋" w:hint="eastAsia"/>
          <w:sz w:val="32"/>
        </w:rPr>
        <w:t>夯实育人之基，建设高素质创新型师资队伍</w:t>
      </w:r>
      <w:bookmarkEnd w:id="87"/>
      <w:bookmarkEnd w:id="88"/>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建设一支政治素质过硬、业务能力精湛、育人水平高超的高素质创新型教师队伍，造就一批在省内外有重要影响的学科带头人和学术骨干，培养和建设一批高水平的创新团队和学术群体，为提高人才培养质量、增强科研创新能力、服务经济社会发展提供坚强的师资保障。实施领军人才培育行动工程，根据学校新时代“金山学者”高层次人才岗位实施办法，做好领军</w:t>
      </w:r>
      <w:proofErr w:type="gramStart"/>
      <w:r>
        <w:rPr>
          <w:rFonts w:ascii="仿宋" w:eastAsia="仿宋" w:hAnsi="仿宋" w:cs="仿宋" w:hint="eastAsia"/>
          <w:spacing w:val="-8"/>
          <w:sz w:val="32"/>
          <w:szCs w:val="32"/>
        </w:rPr>
        <w:t>人才引育和</w:t>
      </w:r>
      <w:proofErr w:type="gramEnd"/>
      <w:r>
        <w:rPr>
          <w:rFonts w:ascii="仿宋" w:eastAsia="仿宋" w:hAnsi="仿宋" w:cs="仿宋" w:hint="eastAsia"/>
          <w:spacing w:val="-8"/>
          <w:sz w:val="32"/>
          <w:szCs w:val="32"/>
        </w:rPr>
        <w:t>高端团队建设。围绕学院发展的战略布局和学科发展方向，完善人才遴选评价机制，精准引进高层次人才。实施教师教学技能发展计划，实行青年教师导师制，抓好青年教师的培养提高工作。</w:t>
      </w:r>
    </w:p>
    <w:p w:rsidR="0060305F" w:rsidRDefault="00EB63B3">
      <w:pPr>
        <w:spacing w:line="520" w:lineRule="exact"/>
        <w:jc w:val="both"/>
        <w:rPr>
          <w:rFonts w:ascii="仿宋" w:eastAsia="仿宋" w:hAnsi="仿宋" w:cs="仿宋"/>
          <w:spacing w:val="-8"/>
          <w:sz w:val="32"/>
          <w:szCs w:val="32"/>
        </w:rPr>
      </w:pPr>
      <w:r>
        <w:rPr>
          <w:rFonts w:ascii="仿宋" w:eastAsia="仿宋" w:hAnsi="仿宋" w:cs="仿宋" w:hint="eastAsia"/>
          <w:spacing w:val="-8"/>
          <w:sz w:val="32"/>
          <w:szCs w:val="32"/>
        </w:rPr>
        <w:t>强化思想建设，突出文化引领，引导教师争做“四有”好老师，强化课程思政、专业知识、科学精神、创新能力的提升。</w:t>
      </w:r>
    </w:p>
    <w:p w:rsidR="0060305F" w:rsidRDefault="00EB63B3">
      <w:pPr>
        <w:pStyle w:val="3"/>
        <w:spacing w:beforeLines="50" w:before="120" w:afterLines="50" w:after="120" w:line="520" w:lineRule="exact"/>
        <w:ind w:firstLineChars="150" w:firstLine="482"/>
        <w:rPr>
          <w:rFonts w:ascii="仿宋" w:eastAsia="仿宋" w:hAnsi="仿宋" w:cs="仿宋"/>
          <w:sz w:val="32"/>
        </w:rPr>
      </w:pPr>
      <w:bookmarkStart w:id="89" w:name="_Toc29195"/>
      <w:bookmarkStart w:id="90" w:name="_Toc102656672"/>
      <w:r>
        <w:rPr>
          <w:rFonts w:ascii="楷体" w:eastAsia="楷体" w:hAnsi="楷体" w:cs="楷体" w:hint="eastAsia"/>
          <w:sz w:val="32"/>
        </w:rPr>
        <w:t>（四）</w:t>
      </w:r>
      <w:r>
        <w:rPr>
          <w:rFonts w:ascii="仿宋" w:eastAsia="仿宋" w:hAnsi="仿宋" w:cs="仿宋" w:hint="eastAsia"/>
          <w:sz w:val="32"/>
        </w:rPr>
        <w:t>着力提升立德树人成效，构建有特色高水平人才培养体系</w:t>
      </w:r>
      <w:bookmarkEnd w:id="89"/>
      <w:bookmarkEnd w:id="90"/>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实施人才培养体系提升行动计划，推进教育教学质量提升，着力培养具有优良的道德品质、扎实的专业知识、强烈的创新意识的复合型人才。实施教学质量提升工程，推进</w:t>
      </w:r>
      <w:proofErr w:type="gramStart"/>
      <w:r>
        <w:rPr>
          <w:rFonts w:ascii="仿宋" w:eastAsia="仿宋" w:hAnsi="仿宋" w:cs="仿宋" w:hint="eastAsia"/>
          <w:spacing w:val="-8"/>
          <w:sz w:val="32"/>
          <w:szCs w:val="32"/>
        </w:rPr>
        <w:t>课程思政建设</w:t>
      </w:r>
      <w:proofErr w:type="gramEnd"/>
      <w:r>
        <w:rPr>
          <w:rFonts w:ascii="仿宋" w:eastAsia="仿宋" w:hAnsi="仿宋" w:cs="仿宋" w:hint="eastAsia"/>
          <w:spacing w:val="-8"/>
          <w:sz w:val="32"/>
          <w:szCs w:val="32"/>
        </w:rPr>
        <w:t>，构建学生教育培养融合</w:t>
      </w:r>
      <w:proofErr w:type="gramStart"/>
      <w:r>
        <w:rPr>
          <w:rFonts w:ascii="仿宋" w:eastAsia="仿宋" w:hAnsi="仿宋" w:cs="仿宋" w:hint="eastAsia"/>
          <w:spacing w:val="-8"/>
          <w:sz w:val="32"/>
          <w:szCs w:val="32"/>
        </w:rPr>
        <w:t>思政教育</w:t>
      </w:r>
      <w:proofErr w:type="gramEnd"/>
      <w:r>
        <w:rPr>
          <w:rFonts w:ascii="仿宋" w:eastAsia="仿宋" w:hAnsi="仿宋" w:cs="仿宋" w:hint="eastAsia"/>
          <w:spacing w:val="-8"/>
          <w:sz w:val="32"/>
          <w:szCs w:val="32"/>
        </w:rPr>
        <w:t>的机制，积极培育教学成果奖。</w:t>
      </w:r>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强化产学研融合特色培养，强化实践教学强化实践教学，强化职业化训练，突出产学研合作，将学科优势转化为人才培养优势。优化人才培养模式，对标新时代国家战略、社会和区域产业发展要求，构建适应区域、产业发展的高水平人才培养体系。</w:t>
      </w:r>
      <w:bookmarkStart w:id="91" w:name="_Toc445199814"/>
      <w:r>
        <w:rPr>
          <w:rFonts w:ascii="仿宋" w:eastAsia="仿宋" w:hAnsi="仿宋" w:cs="仿宋" w:hint="eastAsia"/>
          <w:spacing w:val="-8"/>
          <w:sz w:val="32"/>
          <w:szCs w:val="32"/>
        </w:rPr>
        <w:t>深化研究生培养改革</w:t>
      </w:r>
      <w:bookmarkEnd w:id="91"/>
      <w:r>
        <w:rPr>
          <w:rFonts w:ascii="仿宋" w:eastAsia="仿宋" w:hAnsi="仿宋" w:cs="仿宋" w:hint="eastAsia"/>
          <w:spacing w:val="-8"/>
          <w:sz w:val="32"/>
          <w:szCs w:val="32"/>
        </w:rPr>
        <w:t>，以思想政治工作为保障，以需求导向为突破口，以科研育人为抓手，以科教融合为基础，以开放合作为平台，深化“三融合”人才培养模式和研究生培养改革，推动研究生教育内涵发展再上新水平。持续加强研究生理想信念教育，进一</w:t>
      </w:r>
      <w:r>
        <w:rPr>
          <w:rFonts w:ascii="仿宋" w:eastAsia="仿宋" w:hAnsi="仿宋" w:cs="仿宋" w:hint="eastAsia"/>
          <w:spacing w:val="-8"/>
          <w:sz w:val="32"/>
          <w:szCs w:val="32"/>
        </w:rPr>
        <w:lastRenderedPageBreak/>
        <w:t>步落实好导师立德树人职责，积极探索研究生教育改革新机制，进一步加强课程建设和管理，严格把关学位论文质量。继续做好全国案例中心福州分中心案例库建设，支持研究生参加全国案例大赛，提高学生科研创新能力和实践应用能力。加大开放办学力度，积极与国（境）大学联系与合作，在研究生联合培养上取得实质性进展，努力提高办学层次和水平。 </w:t>
      </w:r>
    </w:p>
    <w:p w:rsidR="0060305F" w:rsidRDefault="00EB63B3">
      <w:pPr>
        <w:pStyle w:val="3"/>
        <w:spacing w:beforeLines="50" w:before="120" w:afterLines="50" w:after="120" w:line="520" w:lineRule="exact"/>
        <w:ind w:firstLineChars="200" w:firstLine="643"/>
        <w:rPr>
          <w:rFonts w:ascii="仿宋" w:eastAsia="仿宋" w:hAnsi="仿宋" w:cs="仿宋"/>
          <w:sz w:val="32"/>
        </w:rPr>
      </w:pPr>
      <w:bookmarkStart w:id="92" w:name="_Toc102656673"/>
      <w:bookmarkStart w:id="93" w:name="_Toc26215"/>
      <w:r>
        <w:rPr>
          <w:rFonts w:ascii="楷体" w:eastAsia="楷体" w:hAnsi="楷体" w:cs="楷体" w:hint="eastAsia"/>
          <w:sz w:val="32"/>
        </w:rPr>
        <w:t>（五）</w:t>
      </w:r>
      <w:r>
        <w:rPr>
          <w:rFonts w:ascii="仿宋" w:eastAsia="仿宋" w:hAnsi="仿宋" w:cs="仿宋" w:hint="eastAsia"/>
          <w:sz w:val="32"/>
        </w:rPr>
        <w:t>强化协同发展，推进科研育人和社会服务育人，增强社会服务实效</w:t>
      </w:r>
      <w:bookmarkEnd w:id="92"/>
      <w:bookmarkEnd w:id="93"/>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通过提升创新能力、构筑科研平台、促进社会服务，努力形成学科建设、人才队伍、科学研究的良性循环机制，以高水平科学研究水平支撑高质量办学水平。实施科研团队培养计划,凝练方向，组建科研团队,提升科研竞争力。加强现有平台建设，强化平台内涵建设，实施常态化的创新平台建设成效评估制度。加强推进高端智库建设，增设新平台、跨学科平台，打造若干个地方、行业有较大影响力的智库，形成稳定的智库研究团队，有组织地开展理论服务、战略咨询服务，共享科研资源。</w:t>
      </w:r>
    </w:p>
    <w:p w:rsidR="0060305F" w:rsidRDefault="00EB63B3">
      <w:pPr>
        <w:spacing w:line="520" w:lineRule="exact"/>
        <w:ind w:firstLineChars="200" w:firstLine="608"/>
        <w:jc w:val="both"/>
        <w:rPr>
          <w:rFonts w:ascii="仿宋" w:eastAsia="仿宋" w:hAnsi="仿宋" w:cs="仿宋"/>
          <w:spacing w:val="-8"/>
          <w:sz w:val="32"/>
          <w:szCs w:val="32"/>
        </w:rPr>
      </w:pPr>
      <w:r>
        <w:rPr>
          <w:rFonts w:ascii="仿宋" w:eastAsia="仿宋" w:hAnsi="仿宋" w:cs="仿宋" w:hint="eastAsia"/>
          <w:spacing w:val="-8"/>
          <w:sz w:val="32"/>
          <w:szCs w:val="32"/>
        </w:rPr>
        <w:t>完善社会服务管理办法，健全完善社会服务体制机制。建立促进服务社会的动力机制，开展持续深入的实质性合作，不断提升产学研用合作的质量和水平。以乡村振兴研究院为依托，发挥省</w:t>
      </w:r>
      <w:proofErr w:type="gramStart"/>
      <w:r>
        <w:rPr>
          <w:rFonts w:ascii="仿宋" w:eastAsia="仿宋" w:hAnsi="仿宋" w:cs="仿宋" w:hint="eastAsia"/>
          <w:spacing w:val="-8"/>
          <w:sz w:val="32"/>
          <w:szCs w:val="32"/>
        </w:rPr>
        <w:t>域发展</w:t>
      </w:r>
      <w:proofErr w:type="gramEnd"/>
      <w:r>
        <w:rPr>
          <w:rFonts w:ascii="仿宋" w:eastAsia="仿宋" w:hAnsi="仿宋" w:cs="仿宋" w:hint="eastAsia"/>
          <w:spacing w:val="-8"/>
          <w:sz w:val="32"/>
          <w:szCs w:val="32"/>
        </w:rPr>
        <w:t>规划、生态文明建设、美丽乡村建设、海洋经济、农村法治、国土空间规划、闽台乡村治理、农村人居环境整治等研究团队优势，主动融入国家和地方重大战略，以服务求支持，积极探索政产学研合作新模式，持续推动科技特派员工作，助力乡村全面振兴和福建全方位高质量发展超越，主动融入和服务福建数字经济、海洋经济、绿色经济、</w:t>
      </w:r>
      <w:proofErr w:type="gramStart"/>
      <w:r>
        <w:rPr>
          <w:rFonts w:ascii="仿宋" w:eastAsia="仿宋" w:hAnsi="仿宋" w:cs="仿宋" w:hint="eastAsia"/>
          <w:spacing w:val="-8"/>
          <w:sz w:val="32"/>
          <w:szCs w:val="32"/>
        </w:rPr>
        <w:t>文旅经济</w:t>
      </w:r>
      <w:proofErr w:type="gramEnd"/>
      <w:r>
        <w:rPr>
          <w:rFonts w:ascii="仿宋" w:eastAsia="仿宋" w:hAnsi="仿宋" w:cs="仿宋" w:hint="eastAsia"/>
          <w:spacing w:val="-8"/>
          <w:sz w:val="32"/>
          <w:szCs w:val="32"/>
        </w:rPr>
        <w:t>。打造一支专业化服务队伍，统筹规划和具体实施学院社会服务工作。</w:t>
      </w:r>
    </w:p>
    <w:p w:rsidR="0060305F" w:rsidRDefault="0060305F">
      <w:pPr>
        <w:spacing w:line="520" w:lineRule="exact"/>
        <w:ind w:firstLineChars="200" w:firstLine="520"/>
        <w:rPr>
          <w:rFonts w:ascii="Times New Roman" w:eastAsia="宋体" w:hAnsi="Times New Roman" w:cs="宋体"/>
          <w:spacing w:val="-10"/>
          <w:sz w:val="28"/>
          <w:szCs w:val="28"/>
        </w:rPr>
      </w:pPr>
    </w:p>
    <w:sectPr w:rsidR="0060305F">
      <w:footerReference w:type="default" r:id="rId12"/>
      <w:pgSz w:w="11905" w:h="16840"/>
      <w:pgMar w:top="1429" w:right="1672" w:bottom="1395" w:left="1785" w:header="0" w:footer="1276"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2D" w:rsidRDefault="008C2F2D">
      <w:r>
        <w:separator/>
      </w:r>
    </w:p>
  </w:endnote>
  <w:endnote w:type="continuationSeparator" w:id="0">
    <w:p w:rsidR="008C2F2D" w:rsidRDefault="008C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5F" w:rsidRDefault="0060305F">
    <w:pPr>
      <w:spacing w:line="14" w:lineRule="auto"/>
      <w:rPr>
        <w:rFonts w:ascii="Times New Roman"/>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5F" w:rsidRDefault="008C2F2D">
    <w:pPr>
      <w:spacing w:line="14" w:lineRule="auto"/>
      <w:rPr>
        <w:rFonts w:ascii="Times New Roman"/>
        <w:sz w:val="2"/>
      </w:rPr>
    </w:pPr>
    <w:r>
      <w:rPr>
        <w:sz w:val="2"/>
      </w:rP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60305F" w:rsidRDefault="00EB63B3">
                <w:pPr>
                  <w:pStyle w:val="a5"/>
                  <w:rPr>
                    <w:rFonts w:ascii="Times New Roman" w:hAnsi="Times New Roman" w:cs="Times New Roman"/>
                    <w:sz w:val="20"/>
                    <w:szCs w:val="22"/>
                  </w:rPr>
                </w:pPr>
                <w:r>
                  <w:rPr>
                    <w:rFonts w:ascii="Times New Roman" w:hAnsi="Times New Roman" w:cs="Times New Roman"/>
                    <w:sz w:val="20"/>
                    <w:szCs w:val="22"/>
                  </w:rPr>
                  <w:fldChar w:fldCharType="begin"/>
                </w:r>
                <w:r>
                  <w:rPr>
                    <w:rFonts w:ascii="Times New Roman" w:hAnsi="Times New Roman" w:cs="Times New Roman"/>
                    <w:sz w:val="20"/>
                    <w:szCs w:val="22"/>
                  </w:rPr>
                  <w:instrText xml:space="preserve"> PAGE  \* MERGEFORMAT </w:instrText>
                </w:r>
                <w:r>
                  <w:rPr>
                    <w:rFonts w:ascii="Times New Roman" w:hAnsi="Times New Roman" w:cs="Times New Roman"/>
                    <w:sz w:val="20"/>
                    <w:szCs w:val="22"/>
                  </w:rPr>
                  <w:fldChar w:fldCharType="separate"/>
                </w:r>
                <w:r w:rsidR="00F53C0E">
                  <w:rPr>
                    <w:rFonts w:ascii="Times New Roman" w:hAnsi="Times New Roman" w:cs="Times New Roman"/>
                    <w:noProof/>
                    <w:sz w:val="20"/>
                    <w:szCs w:val="22"/>
                  </w:rPr>
                  <w:t>7</w:t>
                </w:r>
                <w:r>
                  <w:rPr>
                    <w:rFonts w:ascii="Times New Roman" w:hAnsi="Times New Roman" w:cs="Times New Roman"/>
                    <w:sz w:val="20"/>
                    <w:szCs w:val="22"/>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2D" w:rsidRDefault="008C2F2D">
      <w:r>
        <w:separator/>
      </w:r>
    </w:p>
  </w:footnote>
  <w:footnote w:type="continuationSeparator" w:id="0">
    <w:p w:rsidR="008C2F2D" w:rsidRDefault="008C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351D7"/>
    <w:rsid w:val="000631A4"/>
    <w:rsid w:val="00076B43"/>
    <w:rsid w:val="000B08F8"/>
    <w:rsid w:val="000D2CF4"/>
    <w:rsid w:val="000F337D"/>
    <w:rsid w:val="00107ED3"/>
    <w:rsid w:val="00115DC1"/>
    <w:rsid w:val="00130DDE"/>
    <w:rsid w:val="001317F5"/>
    <w:rsid w:val="00140678"/>
    <w:rsid w:val="0018095C"/>
    <w:rsid w:val="00197C10"/>
    <w:rsid w:val="001A2B02"/>
    <w:rsid w:val="001B5967"/>
    <w:rsid w:val="001E6AC4"/>
    <w:rsid w:val="002046E0"/>
    <w:rsid w:val="002351D7"/>
    <w:rsid w:val="00262E8E"/>
    <w:rsid w:val="002C78A9"/>
    <w:rsid w:val="002E0A8D"/>
    <w:rsid w:val="002E1737"/>
    <w:rsid w:val="002E5237"/>
    <w:rsid w:val="00306B85"/>
    <w:rsid w:val="003442B4"/>
    <w:rsid w:val="0035340D"/>
    <w:rsid w:val="00391DFB"/>
    <w:rsid w:val="003D6022"/>
    <w:rsid w:val="004013E5"/>
    <w:rsid w:val="0041332E"/>
    <w:rsid w:val="0043137B"/>
    <w:rsid w:val="004458F9"/>
    <w:rsid w:val="00457314"/>
    <w:rsid w:val="004704BD"/>
    <w:rsid w:val="00471FA2"/>
    <w:rsid w:val="00485C5E"/>
    <w:rsid w:val="004867A0"/>
    <w:rsid w:val="004C0B38"/>
    <w:rsid w:val="004E11F7"/>
    <w:rsid w:val="00554592"/>
    <w:rsid w:val="0057472E"/>
    <w:rsid w:val="00582D9C"/>
    <w:rsid w:val="00594FAD"/>
    <w:rsid w:val="005A30A2"/>
    <w:rsid w:val="005C0ABC"/>
    <w:rsid w:val="0060305F"/>
    <w:rsid w:val="00627C19"/>
    <w:rsid w:val="00684783"/>
    <w:rsid w:val="00690359"/>
    <w:rsid w:val="00692677"/>
    <w:rsid w:val="006F788A"/>
    <w:rsid w:val="00702075"/>
    <w:rsid w:val="00703408"/>
    <w:rsid w:val="0071717C"/>
    <w:rsid w:val="00737D5A"/>
    <w:rsid w:val="00753649"/>
    <w:rsid w:val="00771297"/>
    <w:rsid w:val="00785E15"/>
    <w:rsid w:val="007A4BA1"/>
    <w:rsid w:val="007C6993"/>
    <w:rsid w:val="007E64E9"/>
    <w:rsid w:val="008222EC"/>
    <w:rsid w:val="00825EC4"/>
    <w:rsid w:val="008568A4"/>
    <w:rsid w:val="00881E86"/>
    <w:rsid w:val="008A6E0C"/>
    <w:rsid w:val="008C2F2D"/>
    <w:rsid w:val="008E2312"/>
    <w:rsid w:val="008F2F9B"/>
    <w:rsid w:val="0092076C"/>
    <w:rsid w:val="00920A0C"/>
    <w:rsid w:val="00936EB3"/>
    <w:rsid w:val="00952B2D"/>
    <w:rsid w:val="0096611C"/>
    <w:rsid w:val="00966F43"/>
    <w:rsid w:val="009A6C4B"/>
    <w:rsid w:val="009E15A5"/>
    <w:rsid w:val="009F694C"/>
    <w:rsid w:val="00A13EAA"/>
    <w:rsid w:val="00A145FA"/>
    <w:rsid w:val="00A21CDE"/>
    <w:rsid w:val="00A46E57"/>
    <w:rsid w:val="00A9475E"/>
    <w:rsid w:val="00AC207A"/>
    <w:rsid w:val="00B45E9B"/>
    <w:rsid w:val="00B55F72"/>
    <w:rsid w:val="00B94C6B"/>
    <w:rsid w:val="00BA1A2D"/>
    <w:rsid w:val="00BB724C"/>
    <w:rsid w:val="00BD2ED0"/>
    <w:rsid w:val="00BE42B8"/>
    <w:rsid w:val="00BE6EA3"/>
    <w:rsid w:val="00BF62A2"/>
    <w:rsid w:val="00C214A8"/>
    <w:rsid w:val="00C77580"/>
    <w:rsid w:val="00CA6F4F"/>
    <w:rsid w:val="00CF5374"/>
    <w:rsid w:val="00D1390B"/>
    <w:rsid w:val="00D24489"/>
    <w:rsid w:val="00D93A29"/>
    <w:rsid w:val="00DB2970"/>
    <w:rsid w:val="00DC25C6"/>
    <w:rsid w:val="00DC4E72"/>
    <w:rsid w:val="00DE7AF3"/>
    <w:rsid w:val="00E401BC"/>
    <w:rsid w:val="00E46B7D"/>
    <w:rsid w:val="00E701AE"/>
    <w:rsid w:val="00E70D71"/>
    <w:rsid w:val="00E93EFE"/>
    <w:rsid w:val="00EB63B3"/>
    <w:rsid w:val="00EF14A8"/>
    <w:rsid w:val="00F163E0"/>
    <w:rsid w:val="00F23773"/>
    <w:rsid w:val="00F43F85"/>
    <w:rsid w:val="00F44A83"/>
    <w:rsid w:val="00F53C0E"/>
    <w:rsid w:val="00F5559B"/>
    <w:rsid w:val="00F9531D"/>
    <w:rsid w:val="00FD5E92"/>
    <w:rsid w:val="00FF73E0"/>
    <w:rsid w:val="014F4893"/>
    <w:rsid w:val="01512B4A"/>
    <w:rsid w:val="04FD1519"/>
    <w:rsid w:val="054408A0"/>
    <w:rsid w:val="05F14806"/>
    <w:rsid w:val="0783670A"/>
    <w:rsid w:val="0D1D7202"/>
    <w:rsid w:val="0DD96E22"/>
    <w:rsid w:val="0F831B3B"/>
    <w:rsid w:val="11030382"/>
    <w:rsid w:val="12DB2464"/>
    <w:rsid w:val="13C96D03"/>
    <w:rsid w:val="14221BE3"/>
    <w:rsid w:val="145406AE"/>
    <w:rsid w:val="17B31386"/>
    <w:rsid w:val="182B350C"/>
    <w:rsid w:val="18493678"/>
    <w:rsid w:val="1910625E"/>
    <w:rsid w:val="1DAB37BF"/>
    <w:rsid w:val="1E8E20FF"/>
    <w:rsid w:val="21F453A3"/>
    <w:rsid w:val="252D7E75"/>
    <w:rsid w:val="257255EF"/>
    <w:rsid w:val="260C62AF"/>
    <w:rsid w:val="26B91CE3"/>
    <w:rsid w:val="285F1A52"/>
    <w:rsid w:val="293033C2"/>
    <w:rsid w:val="2A3526B7"/>
    <w:rsid w:val="2AD85077"/>
    <w:rsid w:val="2FD8767E"/>
    <w:rsid w:val="312513D0"/>
    <w:rsid w:val="31CC460C"/>
    <w:rsid w:val="323D7C6C"/>
    <w:rsid w:val="356E5B3C"/>
    <w:rsid w:val="35CF7305"/>
    <w:rsid w:val="3A8C02CA"/>
    <w:rsid w:val="3AA03AC2"/>
    <w:rsid w:val="3ABF4FAE"/>
    <w:rsid w:val="3D033B05"/>
    <w:rsid w:val="3D922FC7"/>
    <w:rsid w:val="3DE03A8C"/>
    <w:rsid w:val="40F60F8C"/>
    <w:rsid w:val="41917D06"/>
    <w:rsid w:val="429B0086"/>
    <w:rsid w:val="44A65B45"/>
    <w:rsid w:val="44CB69AA"/>
    <w:rsid w:val="47F56027"/>
    <w:rsid w:val="488E0DCA"/>
    <w:rsid w:val="4D981255"/>
    <w:rsid w:val="4DD01699"/>
    <w:rsid w:val="4EE35940"/>
    <w:rsid w:val="51917235"/>
    <w:rsid w:val="53656F8B"/>
    <w:rsid w:val="53C05C4A"/>
    <w:rsid w:val="541A17D8"/>
    <w:rsid w:val="568F468B"/>
    <w:rsid w:val="57A16204"/>
    <w:rsid w:val="591F781C"/>
    <w:rsid w:val="59D92425"/>
    <w:rsid w:val="59E4239E"/>
    <w:rsid w:val="5A5D684E"/>
    <w:rsid w:val="5AA07A6F"/>
    <w:rsid w:val="5B5E3FBF"/>
    <w:rsid w:val="5C7B120D"/>
    <w:rsid w:val="5EC34E45"/>
    <w:rsid w:val="620F682D"/>
    <w:rsid w:val="64A3015A"/>
    <w:rsid w:val="65DD0AB5"/>
    <w:rsid w:val="65FD72F9"/>
    <w:rsid w:val="674737DC"/>
    <w:rsid w:val="6CCC0EDB"/>
    <w:rsid w:val="6E0A0DD3"/>
    <w:rsid w:val="710621B4"/>
    <w:rsid w:val="735F508B"/>
    <w:rsid w:val="74313CA7"/>
    <w:rsid w:val="77E1555C"/>
    <w:rsid w:val="78DF5353"/>
    <w:rsid w:val="79F96578"/>
    <w:rsid w:val="7A605A9A"/>
    <w:rsid w:val="7E4A4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Char"/>
    <w:qFormat/>
    <w:pPr>
      <w:keepNext/>
      <w:keepLines/>
      <w:spacing w:before="91" w:line="185" w:lineRule="auto"/>
      <w:ind w:firstLine="590"/>
      <w:outlineLvl w:val="0"/>
    </w:pPr>
    <w:rPr>
      <w:rFonts w:eastAsia="宋体"/>
      <w:b/>
      <w:kern w:val="44"/>
      <w:sz w:val="28"/>
    </w:rPr>
  </w:style>
  <w:style w:type="paragraph" w:styleId="2">
    <w:name w:val="heading 2"/>
    <w:basedOn w:val="a"/>
    <w:next w:val="a"/>
    <w:link w:val="2Char"/>
    <w:unhideWhenUsed/>
    <w:qFormat/>
    <w:pPr>
      <w:keepNext/>
      <w:keepLines/>
      <w:spacing w:before="91" w:line="185" w:lineRule="auto"/>
      <w:ind w:firstLine="595"/>
      <w:outlineLvl w:val="1"/>
    </w:pPr>
    <w:rPr>
      <w:rFonts w:eastAsia="宋体"/>
      <w:b/>
      <w:sz w:val="28"/>
    </w:rPr>
  </w:style>
  <w:style w:type="paragraph" w:styleId="3">
    <w:name w:val="heading 3"/>
    <w:basedOn w:val="a"/>
    <w:next w:val="a"/>
    <w:uiPriority w:val="9"/>
    <w:unhideWhenUsed/>
    <w:qFormat/>
    <w:pPr>
      <w:keepNext/>
      <w:keepLines/>
      <w:spacing w:before="172" w:line="204" w:lineRule="auto"/>
      <w:ind w:firstLine="607"/>
      <w:outlineLvl w:val="2"/>
    </w:pPr>
    <w:rPr>
      <w:rFonts w:ascii="Times New Roman" w:eastAsia="宋体" w:hAnsi="Times New Roman"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rFonts w:ascii="Times New Roman" w:eastAsia="黑体" w:hAnsi="Times New Roman"/>
      <w:sz w:val="44"/>
    </w:rPr>
  </w:style>
  <w:style w:type="paragraph" w:styleId="30">
    <w:name w:val="toc 3"/>
    <w:basedOn w:val="a"/>
    <w:next w:val="a"/>
    <w:uiPriority w:val="39"/>
    <w:qFormat/>
    <w:pPr>
      <w:ind w:leftChars="400" w:left="84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uiPriority w:val="99"/>
    <w:qFormat/>
    <w:pPr>
      <w:spacing w:beforeAutospacing="1" w:afterAutospacing="1"/>
    </w:pPr>
    <w:rPr>
      <w:rFonts w:cs="Times New Roman"/>
      <w:sz w:val="24"/>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uiPriority w:val="22"/>
    <w:qFormat/>
    <w:rPr>
      <w:b/>
      <w:bCs/>
    </w:rPr>
  </w:style>
  <w:style w:type="character" w:styleId="aa">
    <w:name w:val="Hyperlink"/>
    <w:basedOn w:val="a1"/>
    <w:uiPriority w:val="99"/>
    <w:unhideWhenUsed/>
    <w:qFormat/>
    <w:rPr>
      <w:color w:val="0563C1" w:themeColor="hyperlink"/>
      <w:u w:val="single"/>
    </w:rPr>
  </w:style>
  <w:style w:type="character" w:customStyle="1" w:styleId="MSGENFONTSTYLENAMETEMPLATEROLENUMBERMSGENFONTSTYLENAMEBYROLETEXT2MSGENFONTSTYLEMODIFERSIZE11">
    <w:name w:val="MSG_EN_FONT_STYLE_NAME_TEMPLATE_ROLE_NUMBER MSG_EN_FONT_STYLE_NAME_BY_ROLE_TEXT 2 + MSG_EN_FONT_STYLE_MODIFER_SIZE 11"/>
    <w:basedOn w:val="MSGENFONTSTYLENAMETEMPLATEROLENUMBERMSGENFONTSTYLENAMEBYROLETEXT2"/>
    <w:qFormat/>
    <w:rPr>
      <w:rFonts w:ascii="宋体" w:eastAsia="宋体" w:hAnsi="宋体" w:cs="宋体"/>
      <w:color w:val="000000"/>
      <w:spacing w:val="0"/>
      <w:w w:val="100"/>
      <w:position w:val="0"/>
      <w:sz w:val="22"/>
      <w:szCs w:val="22"/>
      <w:u w:val="none"/>
      <w:lang w:val="zh-CN" w:eastAsia="zh-CN" w:bidi="zh-CN"/>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0"/>
    <w:qFormat/>
    <w:rPr>
      <w:rFonts w:ascii="宋体" w:eastAsia="宋体" w:hAnsi="宋体" w:cs="宋体"/>
      <w:sz w:val="28"/>
      <w:szCs w:val="28"/>
      <w:u w:val="none"/>
    </w:rPr>
  </w:style>
  <w:style w:type="paragraph" w:customStyle="1" w:styleId="MSGENFONTSTYLENAMETEMPLATEROLENUMBERMSGENFONTSTYLENAMEBYROLETEXT20">
    <w:name w:val="MSG_EN_FONT_STYLE_NAME_TEMPLATE_ROLE_NUMBER MSG_EN_FONT_STYLE_NAME_BY_ROLE_TEXT 2"/>
    <w:link w:val="MSGENFONTSTYLENAMETEMPLATEROLENUMBERMSGENFONTSTYLENAMEBYROLETEXT2"/>
    <w:qFormat/>
    <w:pPr>
      <w:widowControl w:val="0"/>
      <w:shd w:val="clear" w:color="auto" w:fill="FFFFFF"/>
      <w:spacing w:line="520" w:lineRule="exact"/>
      <w:jc w:val="distribute"/>
    </w:pPr>
    <w:rPr>
      <w:rFonts w:ascii="宋体" w:hAnsi="宋体" w:cs="宋体"/>
      <w:sz w:val="28"/>
      <w:szCs w:val="28"/>
    </w:rPr>
  </w:style>
  <w:style w:type="character" w:customStyle="1" w:styleId="MSGENFONTSTYLENAMETEMPLATEROLENUMBERMSGENFONTSTYLENAMEBYROLETEXT2MSGENFONTSTYLEMODIFERSIZE13">
    <w:name w:val="MSG_EN_FONT_STYLE_NAME_TEMPLATE_ROLE_NUMBER MSG_EN_FONT_STYLE_NAME_BY_ROLE_TEXT 2 + MSG_EN_FONT_STYLE_MODIFER_SIZE 13"/>
    <w:basedOn w:val="MSGENFONTSTYLENAMETEMPLATEROLENUMBERMSGENFONTSTYLENAMEBYROLETEXT2"/>
    <w:qFormat/>
    <w:rPr>
      <w:rFonts w:ascii="宋体" w:eastAsia="宋体" w:hAnsi="宋体" w:cs="宋体"/>
      <w:b/>
      <w:bCs/>
      <w:color w:val="000000"/>
      <w:spacing w:val="0"/>
      <w:w w:val="100"/>
      <w:position w:val="0"/>
      <w:sz w:val="26"/>
      <w:szCs w:val="26"/>
      <w:u w:val="none"/>
      <w:lang w:val="zh-CN" w:eastAsia="zh-CN" w:bidi="zh-CN"/>
    </w:rPr>
  </w:style>
  <w:style w:type="paragraph" w:customStyle="1" w:styleId="MSGENFONTSTYLENAMETEMPLATEROLELEVELMSGENFONTSTYLENAMEBYROLEHEADING1">
    <w:name w:val="MSG_EN_FONT_STYLE_NAME_TEMPLATE_ROLE_LEVEL MSG_EN_FONT_STYLE_NAME_BY_ROLE_HEADING 1"/>
    <w:basedOn w:val="a"/>
    <w:qFormat/>
    <w:pPr>
      <w:widowControl w:val="0"/>
      <w:shd w:val="clear" w:color="auto" w:fill="FFFFFF"/>
      <w:spacing w:after="580" w:line="260" w:lineRule="exact"/>
      <w:outlineLvl w:val="0"/>
    </w:pPr>
    <w:rPr>
      <w:rFonts w:ascii="宋体" w:eastAsia="宋体" w:hAnsi="宋体" w:cs="宋体"/>
      <w:b/>
      <w:bCs/>
      <w:sz w:val="26"/>
      <w:szCs w:val="26"/>
    </w:rPr>
  </w:style>
  <w:style w:type="character" w:customStyle="1" w:styleId="Char">
    <w:name w:val="批注框文本 Char"/>
    <w:basedOn w:val="a1"/>
    <w:link w:val="a4"/>
    <w:qFormat/>
    <w:rPr>
      <w:rFonts w:ascii="Arial" w:eastAsia="Arial" w:hAnsi="Arial" w:cs="Arial"/>
      <w:snapToGrid w:val="0"/>
      <w:color w:val="000000"/>
      <w:sz w:val="18"/>
      <w:szCs w:val="18"/>
    </w:rPr>
  </w:style>
  <w:style w:type="paragraph" w:styleId="ab">
    <w:name w:val="List Paragraph"/>
    <w:basedOn w:val="a"/>
    <w:uiPriority w:val="99"/>
    <w:unhideWhenUsed/>
    <w:qFormat/>
    <w:pPr>
      <w:ind w:firstLineChars="200" w:firstLine="420"/>
    </w:pPr>
  </w:style>
  <w:style w:type="paragraph" w:customStyle="1" w:styleId="WPSOffice1">
    <w:name w:val="WPSOffice手动目录 1"/>
    <w:qFormat/>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character" w:customStyle="1" w:styleId="2Char">
    <w:name w:val="标题 2 Char"/>
    <w:basedOn w:val="a1"/>
    <w:link w:val="2"/>
    <w:qFormat/>
    <w:rPr>
      <w:rFonts w:ascii="Arial" w:hAnsi="Arial" w:cs="Arial"/>
      <w:b/>
      <w:snapToGrid w:val="0"/>
      <w:color w:val="000000"/>
      <w:sz w:val="28"/>
      <w:szCs w:val="21"/>
    </w:rPr>
  </w:style>
  <w:style w:type="character" w:customStyle="1" w:styleId="1Char">
    <w:name w:val="标题 1 Char"/>
    <w:basedOn w:val="a1"/>
    <w:link w:val="1"/>
    <w:qFormat/>
    <w:rPr>
      <w:rFonts w:ascii="Arial" w:hAnsi="Arial" w:cs="Arial"/>
      <w:b/>
      <w:snapToGrid w:val="0"/>
      <w:color w:val="000000"/>
      <w:kern w:val="44"/>
      <w:sz w:val="28"/>
      <w:szCs w:val="21"/>
    </w:rPr>
  </w:style>
  <w:style w:type="paragraph" w:customStyle="1" w:styleId="21">
    <w:name w:val="正文首行缩进 21"/>
    <w:basedOn w:val="a"/>
    <w:qFormat/>
    <w:pPr>
      <w:widowControl w:val="0"/>
      <w:kinsoku/>
      <w:autoSpaceDE/>
      <w:autoSpaceDN/>
      <w:adjustRightInd/>
      <w:snapToGrid/>
      <w:spacing w:after="120"/>
      <w:ind w:leftChars="200" w:left="420" w:firstLineChars="200" w:firstLine="420"/>
      <w:jc w:val="both"/>
      <w:textAlignment w:val="auto"/>
    </w:pPr>
    <w:rPr>
      <w:rFonts w:asciiTheme="minorHAnsi" w:eastAsiaTheme="minorEastAsia" w:hAnsiTheme="minorHAnsi" w:cstheme="minorBidi"/>
      <w:snapToGrid/>
      <w:color w:val="auto"/>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C0DB5-9F07-4429-9E66-0C47525A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7971</Words>
  <Characters>8531</Characters>
  <Application>Microsoft Office Word</Application>
  <DocSecurity>0</DocSecurity>
  <Lines>533</Lines>
  <Paragraphs>392</Paragraphs>
  <ScaleCrop>false</ScaleCrop>
  <Company>Micorosoft</Company>
  <LinksUpToDate>false</LinksUpToDate>
  <CharactersWithSpaces>16110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刘丹玲</cp:lastModifiedBy>
  <cp:revision>80</cp:revision>
  <dcterms:created xsi:type="dcterms:W3CDTF">2021-12-06T13:18:00Z</dcterms:created>
  <dcterms:modified xsi:type="dcterms:W3CDTF">2022-09-27T08:53:00Z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477F72DDC9FB47E798880B73F2B52806</vt:lpwstr>
  </property>
</Properties>
</file>