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52"/>
          <w:szCs w:val="72"/>
        </w:rPr>
      </w:pPr>
      <w:bookmarkStart w:id="0" w:name="_GoBack"/>
      <w:bookmarkEnd w:id="0"/>
      <w:r>
        <w:rPr>
          <w:rFonts w:hint="eastAsia" w:ascii="黑体" w:hAnsi="黑体" w:eastAsia="黑体" w:cs="黑体"/>
          <w:b/>
          <w:bCs/>
          <w:sz w:val="52"/>
          <w:szCs w:val="72"/>
        </w:rPr>
        <w:t>学位授权点建设年度报告</w:t>
      </w:r>
    </w:p>
    <w:p>
      <w:pPr>
        <w:jc w:val="center"/>
        <w:rPr>
          <w:rFonts w:ascii="楷体" w:hAnsi="楷体" w:eastAsia="楷体" w:cs="楷体"/>
          <w:sz w:val="28"/>
          <w:szCs w:val="36"/>
        </w:rPr>
      </w:pPr>
      <w:r>
        <w:rPr>
          <w:rFonts w:hint="eastAsia" w:ascii="楷体" w:hAnsi="楷体" w:eastAsia="楷体" w:cs="楷体"/>
          <w:sz w:val="28"/>
          <w:szCs w:val="36"/>
        </w:rPr>
        <w:t>（2021年）</w:t>
      </w:r>
    </w:p>
    <w:p/>
    <w:p/>
    <w:p/>
    <w:p/>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noWrap w:val="0"/>
            <w:vAlign w:val="center"/>
          </w:tcPr>
          <w:p>
            <w:pPr>
              <w:jc w:val="center"/>
              <w:rPr>
                <w:rFonts w:ascii="楷体" w:hAnsi="楷体" w:eastAsia="楷体" w:cs="楷体"/>
                <w:sz w:val="28"/>
                <w:szCs w:val="36"/>
              </w:rPr>
            </w:pPr>
            <w:r>
              <w:rPr>
                <w:rFonts w:hint="eastAsia" w:ascii="楷体" w:hAnsi="楷体" w:eastAsia="楷体" w:cs="楷体"/>
                <w:sz w:val="28"/>
                <w:szCs w:val="36"/>
              </w:rPr>
              <w:t xml:space="preserve">               学位授予单位</w:t>
            </w:r>
          </w:p>
        </w:tc>
        <w:tc>
          <w:tcPr>
            <w:tcW w:w="2867" w:type="dxa"/>
            <w:shd w:val="clear" w:color="auto" w:fill="auto"/>
            <w:noWrap w:val="0"/>
            <w:vAlign w:val="top"/>
          </w:tcPr>
          <w:p>
            <w:pPr>
              <w:rPr>
                <w:rFonts w:ascii="楷体" w:hAnsi="楷体" w:eastAsia="楷体" w:cs="楷体"/>
                <w:sz w:val="28"/>
                <w:szCs w:val="36"/>
              </w:rPr>
            </w:pPr>
            <w:r>
              <w:rPr>
                <w:rFonts w:hint="eastAsia" w:ascii="楷体" w:hAnsi="楷体" w:eastAsia="楷体" w:cs="楷体"/>
                <w:sz w:val="28"/>
                <w:szCs w:val="36"/>
              </w:rPr>
              <w:t>名称  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noWrap w:val="0"/>
            <w:vAlign w:val="top"/>
          </w:tcPr>
          <w:p>
            <w:pPr>
              <w:rPr>
                <w:rFonts w:ascii="楷体" w:hAnsi="楷体" w:eastAsia="楷体" w:cs="楷体"/>
                <w:sz w:val="28"/>
                <w:szCs w:val="36"/>
              </w:rPr>
            </w:pPr>
          </w:p>
        </w:tc>
        <w:tc>
          <w:tcPr>
            <w:tcW w:w="2867" w:type="dxa"/>
            <w:shd w:val="clear" w:color="auto" w:fill="auto"/>
            <w:noWrap w:val="0"/>
            <w:vAlign w:val="top"/>
          </w:tcPr>
          <w:p>
            <w:pPr>
              <w:rPr>
                <w:rFonts w:ascii="楷体" w:hAnsi="楷体" w:eastAsia="楷体" w:cs="楷体"/>
                <w:sz w:val="28"/>
                <w:szCs w:val="36"/>
              </w:rPr>
            </w:pPr>
            <w:r>
              <w:rPr>
                <w:rFonts w:hint="eastAsia" w:ascii="楷体" w:hAnsi="楷体" w:eastAsia="楷体" w:cs="楷体"/>
                <w:sz w:val="28"/>
                <w:szCs w:val="36"/>
              </w:rPr>
              <w:t>代码  10389</w:t>
            </w:r>
          </w:p>
        </w:tc>
      </w:tr>
    </w:tbl>
    <w:p>
      <w:pPr>
        <w:rPr>
          <w:rFonts w:ascii="楷体" w:hAnsi="楷体" w:eastAsia="楷体" w:cs="楷体"/>
          <w:sz w:val="28"/>
          <w:szCs w:val="36"/>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3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noWrap w:val="0"/>
            <w:vAlign w:val="center"/>
          </w:tcPr>
          <w:p>
            <w:pPr>
              <w:jc w:val="center"/>
              <w:rPr>
                <w:rFonts w:ascii="楷体" w:hAnsi="楷体" w:eastAsia="楷体" w:cs="楷体"/>
                <w:sz w:val="28"/>
                <w:szCs w:val="36"/>
              </w:rPr>
            </w:pPr>
            <w:r>
              <w:rPr>
                <w:rFonts w:hint="eastAsia" w:ascii="楷体" w:hAnsi="楷体" w:eastAsia="楷体" w:cs="楷体"/>
                <w:sz w:val="28"/>
                <w:szCs w:val="36"/>
              </w:rPr>
              <w:t xml:space="preserve">               授权学科</w:t>
            </w:r>
          </w:p>
          <w:p>
            <w:pPr>
              <w:jc w:val="center"/>
              <w:rPr>
                <w:rFonts w:ascii="楷体" w:hAnsi="楷体" w:eastAsia="楷体" w:cs="楷体"/>
                <w:sz w:val="28"/>
                <w:szCs w:val="36"/>
              </w:rPr>
            </w:pPr>
            <w:r>
              <w:rPr>
                <w:rFonts w:hint="eastAsia" w:ascii="楷体" w:hAnsi="楷体" w:eastAsia="楷体" w:cs="楷体"/>
                <w:sz w:val="28"/>
                <w:szCs w:val="36"/>
              </w:rPr>
              <w:t xml:space="preserve">               （类别）</w:t>
            </w:r>
          </w:p>
        </w:tc>
        <w:tc>
          <w:tcPr>
            <w:tcW w:w="2332" w:type="dxa"/>
            <w:shd w:val="clear" w:color="auto" w:fill="auto"/>
            <w:noWrap w:val="0"/>
            <w:vAlign w:val="top"/>
          </w:tcPr>
          <w:p>
            <w:pPr>
              <w:rPr>
                <w:rFonts w:hint="default" w:ascii="楷体" w:hAnsi="楷体" w:eastAsia="楷体" w:cs="楷体"/>
                <w:sz w:val="28"/>
                <w:szCs w:val="36"/>
                <w:lang w:val="en-US" w:eastAsia="zh-CN"/>
              </w:rPr>
            </w:pPr>
            <w:r>
              <w:rPr>
                <w:rFonts w:hint="eastAsia" w:ascii="楷体" w:hAnsi="楷体" w:eastAsia="楷体" w:cs="楷体"/>
                <w:sz w:val="28"/>
                <w:szCs w:val="36"/>
              </w:rPr>
              <w:t>名称</w:t>
            </w:r>
            <w:r>
              <w:rPr>
                <w:rFonts w:hint="eastAsia" w:ascii="楷体" w:hAnsi="楷体" w:eastAsia="楷体" w:cs="楷体"/>
                <w:sz w:val="28"/>
                <w:szCs w:val="36"/>
                <w:lang w:val="en-US" w:eastAsia="zh-CN"/>
              </w:rPr>
              <w:t xml:space="preserve">   金融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noWrap w:val="0"/>
            <w:vAlign w:val="top"/>
          </w:tcPr>
          <w:p>
            <w:pPr>
              <w:rPr>
                <w:rFonts w:ascii="楷体" w:hAnsi="楷体" w:eastAsia="楷体" w:cs="楷体"/>
                <w:sz w:val="28"/>
                <w:szCs w:val="36"/>
              </w:rPr>
            </w:pPr>
          </w:p>
        </w:tc>
        <w:tc>
          <w:tcPr>
            <w:tcW w:w="2332" w:type="dxa"/>
            <w:shd w:val="clear" w:color="auto" w:fill="auto"/>
            <w:noWrap w:val="0"/>
            <w:vAlign w:val="top"/>
          </w:tcPr>
          <w:p>
            <w:pPr>
              <w:rPr>
                <w:rFonts w:hint="default" w:ascii="楷体" w:hAnsi="楷体" w:eastAsia="楷体" w:cs="楷体"/>
                <w:sz w:val="28"/>
                <w:szCs w:val="36"/>
                <w:lang w:val="en-US" w:eastAsia="zh-CN"/>
              </w:rPr>
            </w:pPr>
            <w:r>
              <w:rPr>
                <w:rFonts w:hint="eastAsia" w:ascii="楷体" w:hAnsi="楷体" w:eastAsia="楷体" w:cs="楷体"/>
                <w:sz w:val="28"/>
                <w:szCs w:val="36"/>
              </w:rPr>
              <w:t>代码</w:t>
            </w:r>
            <w:r>
              <w:rPr>
                <w:rFonts w:hint="eastAsia" w:ascii="楷体" w:hAnsi="楷体" w:eastAsia="楷体" w:cs="楷体"/>
                <w:sz w:val="28"/>
                <w:szCs w:val="36"/>
                <w:lang w:val="en-US" w:eastAsia="zh-CN"/>
              </w:rPr>
              <w:t xml:space="preserve">   0251</w:t>
            </w:r>
          </w:p>
        </w:tc>
      </w:tr>
    </w:tbl>
    <w:p>
      <w:pPr>
        <w:rPr>
          <w:rFonts w:ascii="楷体" w:hAnsi="楷体" w:eastAsia="楷体" w:cs="楷体"/>
          <w:sz w:val="28"/>
          <w:szCs w:val="36"/>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noWrap w:val="0"/>
            <w:vAlign w:val="center"/>
          </w:tcPr>
          <w:p>
            <w:pPr>
              <w:jc w:val="center"/>
              <w:rPr>
                <w:rFonts w:ascii="楷体" w:hAnsi="楷体" w:eastAsia="楷体" w:cs="楷体"/>
                <w:sz w:val="28"/>
                <w:szCs w:val="36"/>
              </w:rPr>
            </w:pPr>
            <w:r>
              <w:rPr>
                <w:rFonts w:hint="eastAsia" w:ascii="楷体" w:hAnsi="楷体" w:eastAsia="楷体" w:cs="楷体"/>
                <w:sz w:val="28"/>
                <w:szCs w:val="36"/>
              </w:rPr>
              <w:t xml:space="preserve">               授权级别</w:t>
            </w:r>
          </w:p>
        </w:tc>
        <w:tc>
          <w:tcPr>
            <w:tcW w:w="2347" w:type="dxa"/>
            <w:shd w:val="clear" w:color="auto" w:fill="auto"/>
            <w:noWrap w:val="0"/>
            <w:vAlign w:val="top"/>
          </w:tcPr>
          <w:p>
            <w:pPr>
              <w:rPr>
                <w:rFonts w:ascii="楷体" w:hAnsi="楷体" w:eastAsia="楷体" w:cs="楷体"/>
                <w:sz w:val="28"/>
                <w:szCs w:val="36"/>
              </w:rPr>
            </w:pPr>
            <w:r>
              <w:rPr>
                <w:rFonts w:hint="eastAsia" w:ascii="楷体" w:hAnsi="楷体" w:eastAsia="楷体" w:cs="楷体"/>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noWrap w:val="0"/>
            <w:vAlign w:val="top"/>
          </w:tcPr>
          <w:p>
            <w:pPr>
              <w:rPr>
                <w:rFonts w:ascii="楷体" w:hAnsi="楷体" w:eastAsia="楷体" w:cs="楷体"/>
                <w:sz w:val="28"/>
                <w:szCs w:val="36"/>
              </w:rPr>
            </w:pPr>
          </w:p>
        </w:tc>
        <w:tc>
          <w:tcPr>
            <w:tcW w:w="2347" w:type="dxa"/>
            <w:shd w:val="clear" w:color="auto" w:fill="auto"/>
            <w:noWrap w:val="0"/>
            <w:vAlign w:val="top"/>
          </w:tcPr>
          <w:p>
            <w:pPr>
              <w:rPr>
                <w:rFonts w:ascii="楷体" w:hAnsi="楷体" w:eastAsia="楷体" w:cs="楷体"/>
                <w:sz w:val="28"/>
                <w:szCs w:val="36"/>
              </w:rPr>
            </w:pPr>
            <w:r>
              <w:rPr>
                <w:rFonts w:hint="eastAsia" w:ascii="楷体" w:hAnsi="楷体" w:eastAsia="楷体" w:cs="楷体"/>
                <w:sz w:val="28"/>
                <w:szCs w:val="36"/>
              </w:rPr>
              <w:sym w:font="Wingdings 2" w:char="0052"/>
            </w:r>
            <w:r>
              <w:rPr>
                <w:rFonts w:hint="eastAsia" w:ascii="楷体" w:hAnsi="楷体" w:eastAsia="楷体" w:cs="楷体"/>
                <w:sz w:val="28"/>
                <w:szCs w:val="36"/>
              </w:rPr>
              <w:t xml:space="preserve"> 硕士</w:t>
            </w:r>
          </w:p>
        </w:tc>
      </w:tr>
    </w:tbl>
    <w:p>
      <w:pPr>
        <w:rPr>
          <w:rFonts w:ascii="楷体" w:hAnsi="楷体" w:eastAsia="楷体" w:cs="楷体"/>
          <w:sz w:val="28"/>
          <w:szCs w:val="36"/>
        </w:rPr>
      </w:pPr>
    </w:p>
    <w:p>
      <w:pPr>
        <w:jc w:val="center"/>
        <w:rPr>
          <w:rFonts w:ascii="楷体" w:hAnsi="楷体" w:eastAsia="楷体" w:cs="楷体"/>
          <w:sz w:val="36"/>
          <w:szCs w:val="44"/>
        </w:rPr>
      </w:pPr>
    </w:p>
    <w:p>
      <w:pPr>
        <w:jc w:val="center"/>
        <w:rPr>
          <w:rFonts w:ascii="楷体" w:hAnsi="楷体" w:eastAsia="楷体" w:cs="楷体"/>
          <w:sz w:val="28"/>
          <w:szCs w:val="36"/>
        </w:rPr>
      </w:pPr>
      <w:r>
        <w:rPr>
          <w:rFonts w:hint="eastAsia" w:ascii="楷体" w:hAnsi="楷体" w:eastAsia="楷体" w:cs="楷体"/>
          <w:sz w:val="28"/>
          <w:szCs w:val="36"/>
        </w:rPr>
        <w:t>2022年3月</w:t>
      </w:r>
      <w:r>
        <w:rPr>
          <w:rFonts w:hint="eastAsia" w:ascii="楷体" w:hAnsi="楷体" w:eastAsia="楷体" w:cs="楷体"/>
          <w:sz w:val="28"/>
          <w:szCs w:val="36"/>
          <w:lang w:val="en-US" w:eastAsia="zh-CN"/>
        </w:rPr>
        <w:t>10</w:t>
      </w:r>
      <w:r>
        <w:rPr>
          <w:rFonts w:hint="eastAsia" w:ascii="楷体" w:hAnsi="楷体" w:eastAsia="楷体" w:cs="楷体"/>
          <w:sz w:val="28"/>
          <w:szCs w:val="36"/>
        </w:rPr>
        <w:t>日</w:t>
      </w:r>
    </w:p>
    <w:p>
      <w:pPr>
        <w:rPr>
          <w:rFonts w:hint="eastAsia"/>
        </w:rPr>
      </w:pPr>
    </w:p>
    <w:p>
      <w:pPr>
        <w:rPr>
          <w:rFonts w:hint="eastAsia"/>
        </w:rPr>
      </w:pPr>
    </w:p>
    <w:p>
      <w:pPr>
        <w:rPr>
          <w:rFonts w:hint="eastAsia"/>
        </w:rPr>
      </w:pPr>
    </w:p>
    <w:p>
      <w:pPr>
        <w:spacing w:line="360" w:lineRule="auto"/>
        <w:ind w:left="0" w:leftChars="0" w:firstLine="0" w:firstLineChars="0"/>
        <w:jc w:val="both"/>
        <w:rPr>
          <w:rFonts w:hint="eastAsia" w:ascii="黑体" w:hAnsi="黑体" w:eastAsia="黑体"/>
          <w:sz w:val="32"/>
          <w:szCs w:val="32"/>
        </w:rPr>
      </w:pPr>
    </w:p>
    <w:p>
      <w:pPr>
        <w:keepNext w:val="0"/>
        <w:keepLines w:val="0"/>
        <w:pageBreakBefore w:val="0"/>
        <w:kinsoku/>
        <w:wordWrap/>
        <w:overflowPunct/>
        <w:topLinePunct w:val="0"/>
        <w:autoSpaceDE/>
        <w:autoSpaceDN/>
        <w:bidi w:val="0"/>
        <w:spacing w:line="600" w:lineRule="atLeast"/>
        <w:ind w:left="0" w:leftChars="0" w:firstLine="0" w:firstLineChars="0"/>
        <w:jc w:val="center"/>
        <w:rPr>
          <w:rFonts w:ascii="黑体" w:hAnsi="黑体" w:eastAsia="黑体"/>
          <w:sz w:val="44"/>
          <w:szCs w:val="44"/>
        </w:rPr>
      </w:pPr>
      <w:r>
        <w:rPr>
          <w:rFonts w:hint="eastAsia" w:ascii="黑体" w:hAnsi="黑体" w:eastAsia="黑体"/>
          <w:sz w:val="44"/>
          <w:szCs w:val="44"/>
        </w:rPr>
        <w:t>金融硕士专业学位教育总结报告</w:t>
      </w:r>
    </w:p>
    <w:p>
      <w:pPr>
        <w:keepNext w:val="0"/>
        <w:keepLines w:val="0"/>
        <w:pageBreakBefore w:val="0"/>
        <w:kinsoku/>
        <w:wordWrap/>
        <w:overflowPunct/>
        <w:topLinePunct w:val="0"/>
        <w:autoSpaceDE/>
        <w:autoSpaceDN/>
        <w:bidi w:val="0"/>
        <w:spacing w:line="600" w:lineRule="atLeast"/>
        <w:ind w:firstLine="420"/>
        <w:rPr>
          <w:rFonts w:ascii="Times New Roman" w:hAnsi="Times New Roman"/>
          <w:b/>
          <w:sz w:val="24"/>
          <w:szCs w:val="24"/>
        </w:rPr>
      </w:pPr>
    </w:p>
    <w:p>
      <w:pPr>
        <w:keepNext w:val="0"/>
        <w:keepLines w:val="0"/>
        <w:pageBreakBefore w:val="0"/>
        <w:kinsoku/>
        <w:wordWrap/>
        <w:overflowPunct/>
        <w:topLinePunct w:val="0"/>
        <w:autoSpaceDE/>
        <w:autoSpaceDN/>
        <w:bidi w:val="0"/>
        <w:spacing w:line="600" w:lineRule="atLeast"/>
        <w:ind w:firstLine="420"/>
        <w:rPr>
          <w:rFonts w:hint="eastAsia" w:ascii="仿宋" w:hAnsi="仿宋" w:eastAsia="仿宋" w:cs="仿宋"/>
          <w:sz w:val="32"/>
          <w:szCs w:val="32"/>
        </w:rPr>
      </w:pPr>
      <w:r>
        <w:rPr>
          <w:rFonts w:hint="eastAsia" w:ascii="仿宋" w:hAnsi="仿宋" w:eastAsia="仿宋" w:cs="仿宋"/>
          <w:sz w:val="32"/>
          <w:szCs w:val="32"/>
        </w:rPr>
        <w:t>福建农林大学创办于1936年，距今已有80年历史，学院现拥有农林经济管理一级学科博士点和农林经济管理博士后科研流动站，并拥有应用经济学一级学科硕士点。农林经济管理学科实力位居全国前列。</w:t>
      </w:r>
      <w:r>
        <w:rPr>
          <w:rFonts w:hint="eastAsia" w:ascii="仿宋" w:hAnsi="仿宋" w:eastAsia="仿宋" w:cs="仿宋"/>
          <w:bCs/>
          <w:sz w:val="32"/>
          <w:szCs w:val="32"/>
          <w:lang w:eastAsia="zh-CN"/>
        </w:rPr>
        <w:t>本专业起源于</w:t>
      </w:r>
      <w:r>
        <w:rPr>
          <w:rFonts w:hint="eastAsia" w:ascii="仿宋" w:hAnsi="仿宋" w:eastAsia="仿宋" w:cs="仿宋"/>
          <w:bCs/>
          <w:sz w:val="32"/>
          <w:szCs w:val="32"/>
        </w:rPr>
        <w:t>1982年</w:t>
      </w:r>
      <w:r>
        <w:rPr>
          <w:rFonts w:hint="eastAsia" w:ascii="仿宋" w:hAnsi="仿宋" w:eastAsia="仿宋" w:cs="仿宋"/>
          <w:bCs/>
          <w:sz w:val="32"/>
          <w:szCs w:val="32"/>
          <w:lang w:eastAsia="zh-CN"/>
        </w:rPr>
        <w:t>创办的农村金融专业，是国内农林院校中最早</w:t>
      </w:r>
      <w:r>
        <w:rPr>
          <w:rFonts w:hint="eastAsia" w:ascii="仿宋" w:hAnsi="仿宋" w:eastAsia="仿宋" w:cs="仿宋"/>
          <w:bCs/>
          <w:sz w:val="32"/>
          <w:szCs w:val="32"/>
        </w:rPr>
        <w:t>创办</w:t>
      </w:r>
      <w:r>
        <w:rPr>
          <w:rFonts w:hint="eastAsia" w:ascii="仿宋" w:hAnsi="仿宋" w:eastAsia="仿宋" w:cs="仿宋"/>
          <w:bCs/>
          <w:sz w:val="32"/>
          <w:szCs w:val="32"/>
          <w:lang w:eastAsia="zh-CN"/>
        </w:rPr>
        <w:t>的金融学本科专业，</w:t>
      </w:r>
      <w:r>
        <w:rPr>
          <w:rFonts w:hint="eastAsia" w:ascii="仿宋" w:hAnsi="仿宋" w:eastAsia="仿宋" w:cs="仿宋"/>
          <w:bCs/>
          <w:sz w:val="32"/>
          <w:szCs w:val="32"/>
        </w:rPr>
        <w:t>1983年-1989年</w:t>
      </w:r>
      <w:r>
        <w:rPr>
          <w:rFonts w:hint="eastAsia" w:ascii="仿宋" w:hAnsi="仿宋" w:eastAsia="仿宋" w:cs="仿宋"/>
          <w:bCs/>
          <w:sz w:val="32"/>
          <w:szCs w:val="32"/>
          <w:lang w:eastAsia="zh-CN"/>
        </w:rPr>
        <w:t>连续</w:t>
      </w:r>
      <w:r>
        <w:rPr>
          <w:rFonts w:hint="eastAsia" w:ascii="仿宋" w:hAnsi="仿宋" w:eastAsia="仿宋" w:cs="仿宋"/>
          <w:bCs/>
          <w:sz w:val="32"/>
          <w:szCs w:val="32"/>
        </w:rPr>
        <w:t>举办7届中国农业银行干部专修班</w:t>
      </w:r>
      <w:r>
        <w:rPr>
          <w:rFonts w:hint="eastAsia" w:ascii="仿宋" w:hAnsi="仿宋" w:eastAsia="仿宋" w:cs="仿宋"/>
          <w:bCs/>
          <w:sz w:val="32"/>
          <w:szCs w:val="32"/>
          <w:lang w:eastAsia="zh-CN"/>
        </w:rPr>
        <w:t>，</w:t>
      </w:r>
      <w:r>
        <w:rPr>
          <w:rFonts w:hint="eastAsia" w:ascii="仿宋" w:hAnsi="仿宋" w:eastAsia="仿宋" w:cs="仿宋"/>
          <w:bCs/>
          <w:sz w:val="32"/>
          <w:szCs w:val="32"/>
        </w:rPr>
        <w:t>1994年更名为“货币银行学”专业</w:t>
      </w:r>
      <w:r>
        <w:rPr>
          <w:rFonts w:hint="eastAsia" w:ascii="仿宋" w:hAnsi="仿宋" w:eastAsia="仿宋" w:cs="仿宋"/>
          <w:bCs/>
          <w:sz w:val="32"/>
          <w:szCs w:val="32"/>
          <w:lang w:eastAsia="zh-CN"/>
        </w:rPr>
        <w:t>，</w:t>
      </w:r>
      <w:r>
        <w:rPr>
          <w:rFonts w:hint="eastAsia" w:ascii="仿宋" w:hAnsi="仿宋" w:eastAsia="仿宋" w:cs="仿宋"/>
          <w:bCs/>
          <w:sz w:val="32"/>
          <w:szCs w:val="32"/>
        </w:rPr>
        <w:t>1999年更名为“金融学”专业</w:t>
      </w:r>
      <w:r>
        <w:rPr>
          <w:rFonts w:hint="eastAsia" w:ascii="仿宋" w:hAnsi="仿宋" w:eastAsia="仿宋" w:cs="仿宋"/>
          <w:bCs/>
          <w:sz w:val="32"/>
          <w:szCs w:val="32"/>
          <w:lang w:eastAsia="zh-CN"/>
        </w:rPr>
        <w:t>，</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0</w:t>
      </w:r>
      <w:r>
        <w:rPr>
          <w:rFonts w:hint="eastAsia" w:ascii="仿宋" w:hAnsi="仿宋" w:eastAsia="仿宋" w:cs="仿宋"/>
          <w:bCs/>
          <w:sz w:val="32"/>
          <w:szCs w:val="32"/>
        </w:rPr>
        <w:t>年获批福建省一流本科专业。</w:t>
      </w:r>
      <w:r>
        <w:rPr>
          <w:rFonts w:hint="eastAsia" w:ascii="仿宋" w:hAnsi="仿宋" w:eastAsia="仿宋" w:cs="仿宋"/>
          <w:sz w:val="32"/>
          <w:szCs w:val="32"/>
        </w:rPr>
        <w:t>2014年金融专业硕士点获批。</w:t>
      </w:r>
      <w:r>
        <w:rPr>
          <w:rFonts w:hint="eastAsia"/>
          <w:lang w:eastAsia="zh-CN"/>
        </w:rPr>
        <w:t>专业</w:t>
      </w:r>
      <w:r>
        <w:rPr>
          <w:rFonts w:hint="eastAsia" w:ascii="仿宋" w:hAnsi="仿宋" w:eastAsia="仿宋" w:cs="仿宋"/>
          <w:sz w:val="32"/>
          <w:szCs w:val="32"/>
        </w:rPr>
        <w:t>拥有较长的办学历史，学科建设、人才培养的经验丰富，基础较好。</w:t>
      </w:r>
    </w:p>
    <w:p>
      <w:pPr>
        <w:pStyle w:val="19"/>
        <w:bidi w:val="0"/>
      </w:pPr>
      <w:r>
        <w:rPr>
          <w:rFonts w:hint="eastAsia"/>
        </w:rPr>
        <w:t>一、</w:t>
      </w:r>
      <w:r>
        <w:t xml:space="preserve"> </w:t>
      </w:r>
      <w:r>
        <w:rPr>
          <w:rFonts w:hint="eastAsia"/>
        </w:rPr>
        <w:t>教学质量</w:t>
      </w:r>
    </w:p>
    <w:p>
      <w:pPr>
        <w:pStyle w:val="20"/>
        <w:bidi w:val="0"/>
        <w:rPr>
          <w:rFonts w:hint="eastAsia"/>
        </w:rPr>
      </w:pPr>
      <w:r>
        <w:rPr>
          <w:rFonts w:hint="eastAsia"/>
        </w:rPr>
        <w:t>（一）培养方案</w:t>
      </w:r>
    </w:p>
    <w:p>
      <w:pPr>
        <w:pStyle w:val="4"/>
        <w:rPr>
          <w:rFonts w:hint="eastAsia"/>
        </w:rPr>
      </w:pPr>
      <w:r>
        <w:rPr>
          <w:rFonts w:hint="eastAsia"/>
        </w:rPr>
        <w:t>本学位点培养方案的制定和修订，坚持以农村金融为特色的办学理念，秉承专业历史</w:t>
      </w:r>
      <w:r>
        <w:rPr>
          <w:rFonts w:hint="eastAsia"/>
          <w:lang w:eastAsia="zh-CN"/>
        </w:rPr>
        <w:t>、</w:t>
      </w:r>
      <w:r>
        <w:rPr>
          <w:rFonts w:hint="eastAsia"/>
        </w:rPr>
        <w:t>依托学校资源</w:t>
      </w:r>
      <w:r>
        <w:rPr>
          <w:rFonts w:hint="eastAsia"/>
          <w:lang w:eastAsia="zh-CN"/>
        </w:rPr>
        <w:t>、</w:t>
      </w:r>
      <w:r>
        <w:rPr>
          <w:rFonts w:hint="eastAsia"/>
        </w:rPr>
        <w:t>发挥学科优势</w:t>
      </w:r>
      <w:r>
        <w:rPr>
          <w:rFonts w:hint="eastAsia"/>
          <w:lang w:eastAsia="zh-CN"/>
        </w:rPr>
        <w:t>、</w:t>
      </w:r>
      <w:r>
        <w:rPr>
          <w:rFonts w:hint="eastAsia"/>
        </w:rPr>
        <w:t>利用教师</w:t>
      </w:r>
      <w:r>
        <w:rPr>
          <w:rFonts w:hint="eastAsia"/>
          <w:lang w:eastAsia="zh-CN"/>
        </w:rPr>
        <w:t>专长</w:t>
      </w:r>
      <w:r>
        <w:rPr>
          <w:rFonts w:hint="eastAsia"/>
        </w:rPr>
        <w:t>，</w:t>
      </w:r>
      <w:r>
        <w:rPr>
          <w:rFonts w:hint="eastAsia"/>
          <w:lang w:eastAsia="zh-CN"/>
        </w:rPr>
        <w:t>主动对接并积极融入国家战略和地方经济社会发展需求，着力培养具有扎实的</w:t>
      </w:r>
      <w:r>
        <w:rPr>
          <w:rFonts w:hint="eastAsia"/>
        </w:rPr>
        <w:t>经济学理论基础，掌握现代金融专业知识和分析工具，</w:t>
      </w:r>
      <w:r>
        <w:rPr>
          <w:rFonts w:hint="eastAsia"/>
          <w:lang w:eastAsia="zh-CN"/>
        </w:rPr>
        <w:t>能够</w:t>
      </w:r>
      <w:r>
        <w:rPr>
          <w:rFonts w:hint="eastAsia"/>
        </w:rPr>
        <w:t>胜任银行、保险、证券等金融机构及政府部门和企事业单位的专业工作，尤其能够胜任农村金融与普惠金融实务工作，具有良好综合素质的高层次、应用型金融人才，并从实践平台、课程体系、社会服务、智库平台等方面为金融人才的培养创造条件。主要设</w:t>
      </w:r>
      <w:r>
        <w:rPr>
          <w:rFonts w:hint="eastAsia"/>
          <w:lang w:eastAsia="zh-CN"/>
        </w:rPr>
        <w:t>置</w:t>
      </w:r>
      <w:r>
        <w:rPr>
          <w:rFonts w:hint="eastAsia"/>
        </w:rPr>
        <w:t>农村金融与普惠金融、金融机构经营与管理、金融市场与投资、风险管理与保险等四个研究方向。</w:t>
      </w:r>
    </w:p>
    <w:p>
      <w:pPr>
        <w:bidi w:val="0"/>
      </w:pPr>
      <w:r>
        <w:rPr>
          <w:rFonts w:hint="eastAsia"/>
        </w:rPr>
        <w:t>经过精心设计，本学位点的培养方案力求能够教授</w:t>
      </w:r>
      <w:r>
        <w:rPr>
          <w:rFonts w:hint="eastAsia"/>
          <w:lang w:eastAsia="zh-CN"/>
        </w:rPr>
        <w:t>学生</w:t>
      </w:r>
      <w:r>
        <w:rPr>
          <w:rFonts w:hint="eastAsia"/>
        </w:rPr>
        <w:t>金融实际工作和研究所需的专业知识、方法和工具，其中，</w:t>
      </w:r>
      <w:r>
        <w:rPr>
          <w:rFonts w:hint="eastAsia"/>
          <w:lang w:eastAsia="zh-CN"/>
        </w:rPr>
        <w:t>公共学位课</w:t>
      </w:r>
      <w:r>
        <w:rPr>
          <w:rFonts w:hint="eastAsia"/>
          <w:lang w:val="en-US" w:eastAsia="zh-CN"/>
        </w:rPr>
        <w:t>3门</w:t>
      </w:r>
      <w:r>
        <w:rPr>
          <w:rFonts w:hint="eastAsia"/>
          <w:lang w:eastAsia="zh-CN"/>
        </w:rPr>
        <w:t>、专业学位课</w:t>
      </w:r>
      <w:r>
        <w:rPr>
          <w:rFonts w:hint="eastAsia"/>
          <w:lang w:val="en-US" w:eastAsia="zh-CN"/>
        </w:rPr>
        <w:t>5门</w:t>
      </w:r>
      <w:r>
        <w:rPr>
          <w:rFonts w:hint="eastAsia"/>
          <w:lang w:eastAsia="zh-CN"/>
        </w:rPr>
        <w:t>、</w:t>
      </w:r>
      <w:r>
        <w:rPr>
          <w:rFonts w:hint="eastAsia"/>
          <w:lang w:val="en-US" w:eastAsia="zh-CN"/>
        </w:rPr>
        <w:t>专业选修课11门</w:t>
      </w:r>
      <w:r>
        <w:rPr>
          <w:rFonts w:hint="eastAsia"/>
          <w:lang w:eastAsia="zh-CN"/>
        </w:rPr>
        <w:t>，同时针对非本专业生源的学生开设</w:t>
      </w:r>
      <w:r>
        <w:rPr>
          <w:rFonts w:hint="eastAsia"/>
          <w:lang w:val="en-US" w:eastAsia="zh-CN"/>
        </w:rPr>
        <w:t>3门补修课。</w:t>
      </w:r>
      <w:r>
        <w:rPr>
          <w:rFonts w:hint="eastAsia"/>
          <w:lang w:eastAsia="zh-CN"/>
        </w:rPr>
        <w:t>专业学位课和</w:t>
      </w:r>
      <w:r>
        <w:rPr>
          <w:rFonts w:hint="eastAsia"/>
          <w:lang w:val="en-US" w:eastAsia="zh-CN"/>
        </w:rPr>
        <w:t>专业选修</w:t>
      </w:r>
      <w:r>
        <w:rPr>
          <w:rFonts w:hint="eastAsia"/>
          <w:lang w:eastAsia="zh-CN"/>
        </w:rPr>
        <w:t>课</w:t>
      </w:r>
      <w:r>
        <w:rPr>
          <w:rFonts w:hint="eastAsia"/>
        </w:rPr>
        <w:t>不分具体方向，更多体现学科方向，供学生根据兴趣和需要自主选择。在课程体系建设方面，本学位点的培养方案体现农村金融特色，</w:t>
      </w:r>
      <w:r>
        <w:rPr>
          <w:rFonts w:hint="eastAsia"/>
          <w:lang w:eastAsia="zh-CN"/>
        </w:rPr>
        <w:t>开设</w:t>
      </w:r>
      <w:r>
        <w:rPr>
          <w:rFonts w:hint="eastAsia"/>
        </w:rPr>
        <w:t>了《农村金融与普惠金融专题》（该课程之前名为《农村金融理论与实践》）、《农业经济专题》等特色课程。</w:t>
      </w:r>
    </w:p>
    <w:p>
      <w:pPr>
        <w:pStyle w:val="20"/>
        <w:bidi w:val="0"/>
      </w:pPr>
      <w:r>
        <w:rPr>
          <w:rFonts w:hint="eastAsia"/>
        </w:rPr>
        <w:t>（二）教学内容</w:t>
      </w:r>
    </w:p>
    <w:p>
      <w:pPr>
        <w:bidi w:val="0"/>
        <w:rPr>
          <w:rFonts w:hint="default"/>
          <w:lang w:val="en-US" w:eastAsia="zh-CN"/>
        </w:rPr>
      </w:pPr>
      <w:r>
        <w:rPr>
          <w:rFonts w:hint="eastAsia"/>
        </w:rPr>
        <w:t>本学位点课程教学目标体现金融专硕教育目标的要求，课程内容支持教学目标，培养方案中每门课程均已撰写教学大纲；各门课程课件完备，</w:t>
      </w:r>
      <w:r>
        <w:rPr>
          <w:rFonts w:hint="eastAsia"/>
          <w:lang w:eastAsia="zh-CN"/>
        </w:rPr>
        <w:t>均</w:t>
      </w:r>
      <w:r>
        <w:rPr>
          <w:rFonts w:hint="eastAsia"/>
        </w:rPr>
        <w:t>使用了教指委或国内外著名高校的教材。如《金融理论与政策》</w:t>
      </w:r>
      <w:r>
        <w:rPr>
          <w:rFonts w:hint="eastAsia"/>
          <w:lang w:eastAsia="zh-CN"/>
        </w:rPr>
        <w:t>、《金融市场与金融机构》、《公司金融》</w:t>
      </w:r>
      <w:r>
        <w:rPr>
          <w:rFonts w:hint="eastAsia"/>
        </w:rPr>
        <w:t>课程使用教指委编写教材《金融理论与政策》，该教材由由全国金融专业学位研究生教育指导委员会组织编写，吴晓求、王广谦担任主编，中国人民大学出版社出版，系全国金融硕士核心课程系列教材，得到教育部研究生教育创新计划资助。</w:t>
      </w:r>
      <w:r>
        <w:rPr>
          <w:rFonts w:hint="eastAsia"/>
          <w:lang w:eastAsia="zh-CN"/>
        </w:rPr>
        <w:t>《国际金融专题》课程使用教育部推荐教材、金融学研究生核心教材《国际金融学》，该教材由中国人民银行副行长陈雨露主编，中国人民大学出版社出版。</w:t>
      </w:r>
    </w:p>
    <w:p>
      <w:pPr>
        <w:pStyle w:val="20"/>
        <w:bidi w:val="0"/>
        <w:rPr>
          <w:rFonts w:hint="eastAsia"/>
        </w:rPr>
      </w:pPr>
      <w:r>
        <w:rPr>
          <w:rFonts w:hint="eastAsia"/>
        </w:rPr>
        <w:t>（三）专业拓展</w:t>
      </w:r>
    </w:p>
    <w:p>
      <w:pPr>
        <w:bidi w:val="0"/>
        <w:rPr>
          <w:rFonts w:hint="eastAsia"/>
        </w:rPr>
      </w:pPr>
      <w:r>
        <w:rPr>
          <w:rFonts w:hint="eastAsia"/>
          <w:lang w:eastAsia="zh-CN"/>
        </w:rPr>
        <w:t>为了拓宽学生视野与学习兴趣，</w:t>
      </w:r>
      <w:r>
        <w:rPr>
          <w:rFonts w:hint="eastAsia"/>
          <w:lang w:val="en-US" w:eastAsia="zh-CN"/>
        </w:rPr>
        <w:t>2021年邀请金融业界及其他高校的专家</w:t>
      </w:r>
      <w:r>
        <w:rPr>
          <w:rFonts w:hint="eastAsia"/>
        </w:rPr>
        <w:t>举办了</w:t>
      </w:r>
      <w:r>
        <w:rPr>
          <w:rFonts w:hint="eastAsia"/>
          <w:lang w:val="en-US" w:eastAsia="zh-CN"/>
        </w:rPr>
        <w:t>10</w:t>
      </w:r>
      <w:r>
        <w:rPr>
          <w:rFonts w:hint="eastAsia"/>
        </w:rPr>
        <w:t>场高层次、高水平的学术讲座，讲座</w:t>
      </w:r>
      <w:r>
        <w:rPr>
          <w:rFonts w:hint="eastAsia"/>
          <w:lang w:eastAsia="zh-CN"/>
        </w:rPr>
        <w:t>内容涵盖金融风险、脱贫、公司治理等内容，</w:t>
      </w:r>
      <w:r>
        <w:rPr>
          <w:rFonts w:hint="eastAsia"/>
        </w:rPr>
        <w:t>与金融专硕专业知识紧密相关，学生积极参与，活跃度较高。这些学者包括福建省农信联社兰可雄</w:t>
      </w:r>
      <w:r>
        <w:rPr>
          <w:rFonts w:hint="eastAsia"/>
          <w:lang w:eastAsia="zh-CN"/>
        </w:rPr>
        <w:t>、</w:t>
      </w:r>
      <w:r>
        <w:rPr>
          <w:rFonts w:hint="eastAsia"/>
        </w:rPr>
        <w:t>同济大学程国强</w:t>
      </w:r>
      <w:r>
        <w:rPr>
          <w:rFonts w:hint="eastAsia"/>
          <w:lang w:eastAsia="zh-CN"/>
        </w:rPr>
        <w:t>、</w:t>
      </w:r>
      <w:r>
        <w:rPr>
          <w:rFonts w:hint="eastAsia"/>
        </w:rPr>
        <w:t>华南农业大学罗必良教授、厦门大学会计发展研究中心王荔红</w:t>
      </w:r>
      <w:r>
        <w:rPr>
          <w:rFonts w:hint="eastAsia"/>
          <w:lang w:eastAsia="zh-CN"/>
        </w:rPr>
        <w:t>教授、华中农大刘西川</w:t>
      </w:r>
      <w:r>
        <w:rPr>
          <w:rFonts w:hint="eastAsia"/>
        </w:rPr>
        <w:t>等</w:t>
      </w:r>
      <w:r>
        <w:rPr>
          <w:rFonts w:hint="eastAsia"/>
          <w:lang w:eastAsia="zh-CN"/>
        </w:rPr>
        <w:t>。</w:t>
      </w:r>
    </w:p>
    <w:p>
      <w:pPr>
        <w:pStyle w:val="4"/>
        <w:rPr>
          <w:rFonts w:hint="eastAsia"/>
          <w:lang w:eastAsia="zh-CN"/>
        </w:rPr>
      </w:pPr>
      <w:r>
        <w:rPr>
          <w:rFonts w:hint="eastAsia"/>
        </w:rPr>
        <w:t>本学位点</w:t>
      </w:r>
      <w:r>
        <w:rPr>
          <w:rFonts w:hint="eastAsia"/>
          <w:lang w:eastAsia="zh-CN"/>
        </w:rPr>
        <w:t>拥有教育部</w:t>
      </w:r>
      <w:r>
        <w:rPr>
          <w:rFonts w:hint="eastAsia"/>
        </w:rPr>
        <w:t>国别和区域研究中心——“南太平洋岛国研究中心”（教育部批准的部级创新平台）、福建普惠金融研究院（既是省教育厅批准的福建省高校特色新型智库，也是</w:t>
      </w:r>
      <w:r>
        <w:rPr>
          <w:rFonts w:hint="eastAsia"/>
          <w:lang w:eastAsia="zh-CN"/>
        </w:rPr>
        <w:t>福建农林大学与</w:t>
      </w:r>
      <w:r>
        <w:rPr>
          <w:rFonts w:hint="eastAsia"/>
        </w:rPr>
        <w:t>福建省农村信用合作联社共建的省级智库）、福建农林大学海上丝绸之路可持续发展研究院（与“海上丝绸之路投资基金管理中心”和“海上丝绸之路智库咨询有限公司”共建）</w:t>
      </w:r>
      <w:r>
        <w:rPr>
          <w:rFonts w:hint="eastAsia"/>
          <w:lang w:eastAsia="zh-CN"/>
        </w:rPr>
        <w:t>，在全省遴选了</w:t>
      </w:r>
      <w:r>
        <w:rPr>
          <w:rFonts w:hint="eastAsia"/>
          <w:lang w:val="en-US" w:eastAsia="zh-CN"/>
        </w:rPr>
        <w:t>10个“普惠金融实践创新基地”及44个“普惠金融固定观察点”，依托这些平台、基地和固定观察点，</w:t>
      </w:r>
      <w:r>
        <w:rPr>
          <w:rFonts w:hint="eastAsia"/>
          <w:lang w:eastAsia="zh-CN"/>
        </w:rPr>
        <w:t>鼓励学生参与科研和实践工作，</w:t>
      </w:r>
      <w:r>
        <w:rPr>
          <w:rFonts w:hint="eastAsia"/>
        </w:rPr>
        <w:t>增强学生</w:t>
      </w:r>
      <w:r>
        <w:rPr>
          <w:rFonts w:hint="eastAsia"/>
          <w:lang w:eastAsia="zh-CN"/>
        </w:rPr>
        <w:t>观察能力和</w:t>
      </w:r>
      <w:r>
        <w:rPr>
          <w:rFonts w:hint="eastAsia"/>
        </w:rPr>
        <w:t>分析能力</w:t>
      </w:r>
      <w:r>
        <w:rPr>
          <w:rFonts w:hint="eastAsia"/>
          <w:lang w:eastAsia="zh-CN"/>
        </w:rPr>
        <w:t>。</w:t>
      </w:r>
    </w:p>
    <w:p>
      <w:pPr>
        <w:bidi w:val="0"/>
        <w:rPr>
          <w:rFonts w:hint="eastAsia"/>
          <w:lang w:eastAsia="zh-CN"/>
        </w:rPr>
      </w:pPr>
      <w:r>
        <w:rPr>
          <w:rFonts w:hint="eastAsia"/>
          <w:lang w:eastAsia="zh-CN"/>
        </w:rPr>
        <w:t>根据全国金融教指委委员会议讨论通过的《全国金融专业学位案例中心建设方案》的要求：入库的案例等同于B类期刊的学术论文认定，并在教指委开展的评估工作中入库的教学案例数量是加分指标之一。</w:t>
      </w:r>
      <w:r>
        <w:rPr>
          <w:rFonts w:hint="eastAsia"/>
          <w:lang w:val="en-US" w:eastAsia="zh-CN"/>
        </w:rPr>
        <w:t>2021年，由本专业硕士生参与的两个案例《</w:t>
      </w:r>
      <w:r>
        <w:rPr>
          <w:rFonts w:hint="eastAsia"/>
        </w:rPr>
        <w:t>泰禾难泰和——企业债券违约原因分析</w:t>
      </w:r>
      <w:r>
        <w:rPr>
          <w:rFonts w:hint="eastAsia"/>
          <w:lang w:eastAsia="zh-CN"/>
        </w:rPr>
        <w:t>》和《</w:t>
      </w:r>
      <w:r>
        <w:rPr>
          <w:rFonts w:hint="eastAsia"/>
        </w:rPr>
        <w:t>从质疑到拥抱：PTA期货定价权争夺战始末</w:t>
      </w:r>
      <w:r>
        <w:rPr>
          <w:rFonts w:hint="eastAsia"/>
          <w:lang w:eastAsia="zh-CN"/>
        </w:rPr>
        <w:t>》获得</w:t>
      </w:r>
      <w:r>
        <w:rPr>
          <w:rFonts w:hint="eastAsia"/>
        </w:rPr>
        <w:t>第</w:t>
      </w:r>
      <w:r>
        <w:rPr>
          <w:rFonts w:hint="eastAsia"/>
          <w:lang w:eastAsia="zh-CN"/>
        </w:rPr>
        <w:t>七</w:t>
      </w:r>
      <w:r>
        <w:rPr>
          <w:rFonts w:hint="eastAsia"/>
        </w:rPr>
        <w:t>届全国金融硕士教学案例大赛优秀案例</w:t>
      </w:r>
      <w:r>
        <w:rPr>
          <w:rFonts w:hint="eastAsia"/>
          <w:lang w:eastAsia="zh-CN"/>
        </w:rPr>
        <w:t>。学生参与撰写的案例获奖与入库体现了学生的收集资料能力，观察能力、写作能力、分析能力、合作能力均得到了提升。</w:t>
      </w:r>
    </w:p>
    <w:p>
      <w:pPr>
        <w:bidi w:val="0"/>
        <w:rPr>
          <w:rFonts w:hint="eastAsia"/>
          <w:lang w:eastAsia="zh-CN"/>
        </w:rPr>
      </w:pPr>
      <w:r>
        <w:rPr>
          <w:rFonts w:hint="eastAsia"/>
          <w:lang w:eastAsia="zh-CN"/>
        </w:rPr>
        <w:t>为了提升学生的职业能力，鼓励学生参与与本专业相关的从业资格考试，</w:t>
      </w:r>
      <w:r>
        <w:rPr>
          <w:rFonts w:hint="eastAsia"/>
          <w:lang w:val="en-US" w:eastAsia="zh-CN"/>
        </w:rPr>
        <w:t>2021年</w:t>
      </w:r>
      <w:r>
        <w:rPr>
          <w:rFonts w:hint="eastAsia"/>
          <w:lang w:eastAsia="zh-CN"/>
        </w:rPr>
        <w:t>在校学生共有</w:t>
      </w:r>
      <w:r>
        <w:rPr>
          <w:rFonts w:hint="eastAsia"/>
          <w:lang w:val="en-US" w:eastAsia="zh-CN"/>
        </w:rPr>
        <w:t>23人次获得</w:t>
      </w:r>
      <w:r>
        <w:rPr>
          <w:rFonts w:hint="eastAsia"/>
          <w:lang w:eastAsia="zh-CN"/>
        </w:rPr>
        <w:t>证券从业资格、银行从业资格、会计从业资格、CPA等证书</w:t>
      </w:r>
      <w:r>
        <w:rPr>
          <w:rFonts w:hint="eastAsia"/>
          <w:lang w:val="en-US" w:eastAsia="zh-CN"/>
        </w:rPr>
        <w:t>，为今后顺利就业准备了条件，同时也加深了对专业知识的理解</w:t>
      </w:r>
      <w:r>
        <w:rPr>
          <w:rFonts w:hint="eastAsia"/>
          <w:lang w:eastAsia="zh-CN"/>
        </w:rPr>
        <w:t>。</w:t>
      </w:r>
    </w:p>
    <w:p>
      <w:pPr>
        <w:pStyle w:val="20"/>
        <w:bidi w:val="0"/>
        <w:rPr>
          <w:rFonts w:hint="eastAsia"/>
        </w:rPr>
      </w:pPr>
      <w:r>
        <w:rPr>
          <w:rFonts w:hint="eastAsia"/>
        </w:rPr>
        <w:t>（四）教学方法</w:t>
      </w:r>
    </w:p>
    <w:p>
      <w:pPr>
        <w:bidi w:val="0"/>
      </w:pPr>
      <w:r>
        <w:rPr>
          <w:rFonts w:hint="eastAsia"/>
        </w:rPr>
        <w:t>本学位点积极采用案例教学方法，在《农村金融理论与实践》、《国际金融专题》、《农村金融学与普惠金融专题》、《金融工程学》、《公司金融》、《金融理论与政策》、《金融市场与金融机构》、《商业银行管理》等多门课程中使用了自编或国内金融学科顶尖高校编写的案例教材。其中自编案例</w:t>
      </w:r>
      <w:r>
        <w:rPr>
          <w:rFonts w:hint="eastAsia"/>
          <w:lang w:val="en-US" w:eastAsia="zh-CN"/>
        </w:rPr>
        <w:t>8</w:t>
      </w:r>
      <w:r>
        <w:rPr>
          <w:rFonts w:hint="eastAsia"/>
        </w:rPr>
        <w:t>个</w:t>
      </w:r>
      <w:r>
        <w:rPr>
          <w:rFonts w:hint="eastAsia"/>
          <w:lang w:eastAsia="zh-CN"/>
        </w:rPr>
        <w:t>（</w:t>
      </w:r>
      <w:r>
        <w:rPr>
          <w:rFonts w:hint="eastAsia"/>
          <w:lang w:val="en-US" w:eastAsia="zh-CN"/>
        </w:rPr>
        <w:t>5个已入选</w:t>
      </w:r>
      <w:r>
        <w:rPr>
          <w:rFonts w:hint="eastAsia"/>
          <w:lang w:eastAsia="zh-CN"/>
        </w:rPr>
        <w:t>全国金融教指委案例库）</w:t>
      </w:r>
      <w:r>
        <w:rPr>
          <w:rFonts w:hint="eastAsia"/>
        </w:rPr>
        <w:t>。</w:t>
      </w:r>
    </w:p>
    <w:p>
      <w:pPr>
        <w:bidi w:val="0"/>
      </w:pPr>
      <w:r>
        <w:rPr>
          <w:rFonts w:hint="eastAsia"/>
        </w:rPr>
        <w:t>同时，本学位点邀请农村金融专家与涉农金融机构高管等共同授课、开展实践教学，探索联合培养模式，加强学生对理论知识的理解，提高学生的创新与实践应用能力，培养精通农村金融与普惠金融实务的特色人才。如邀请</w:t>
      </w:r>
      <w:r>
        <w:rPr>
          <w:rFonts w:hint="eastAsia"/>
          <w:lang w:eastAsia="zh-CN"/>
        </w:rPr>
        <w:t>省联社</w:t>
      </w:r>
      <w:r>
        <w:rPr>
          <w:rFonts w:hint="eastAsia"/>
        </w:rPr>
        <w:t>兰可雄</w:t>
      </w:r>
      <w:r>
        <w:rPr>
          <w:rFonts w:hint="eastAsia"/>
          <w:lang w:eastAsia="zh-CN"/>
        </w:rPr>
        <w:t>参与《</w:t>
      </w:r>
      <w:r>
        <w:rPr>
          <w:rFonts w:hint="eastAsia"/>
        </w:rPr>
        <w:t>金融机构经营管理</w:t>
      </w:r>
      <w:r>
        <w:rPr>
          <w:rFonts w:hint="eastAsia"/>
          <w:lang w:eastAsia="zh-CN"/>
        </w:rPr>
        <w:t>》和《</w:t>
      </w:r>
      <w:r>
        <w:rPr>
          <w:rFonts w:hint="eastAsia"/>
        </w:rPr>
        <w:t>农村金融与普惠金融专题</w:t>
      </w:r>
      <w:r>
        <w:rPr>
          <w:rFonts w:hint="eastAsia"/>
          <w:lang w:eastAsia="zh-CN"/>
        </w:rPr>
        <w:t>》、</w:t>
      </w:r>
      <w:r>
        <w:rPr>
          <w:rFonts w:hint="eastAsia"/>
        </w:rPr>
        <w:t>邀请人保财险福建省公司农险部副总刘剑雄</w:t>
      </w:r>
      <w:r>
        <w:rPr>
          <w:rFonts w:hint="eastAsia"/>
          <w:lang w:eastAsia="zh-CN"/>
        </w:rPr>
        <w:t>参与《</w:t>
      </w:r>
      <w:r>
        <w:rPr>
          <w:rFonts w:hint="eastAsia"/>
        </w:rPr>
        <w:t>农村金融与普惠金融专题</w:t>
      </w:r>
      <w:r>
        <w:rPr>
          <w:rFonts w:hint="eastAsia"/>
          <w:lang w:eastAsia="zh-CN"/>
        </w:rPr>
        <w:t>》课程教学，</w:t>
      </w:r>
      <w:r>
        <w:rPr>
          <w:rFonts w:hint="eastAsia"/>
        </w:rPr>
        <w:t>强化同学们对金融实务的认知与学习。</w:t>
      </w:r>
    </w:p>
    <w:p>
      <w:pPr>
        <w:bidi w:val="0"/>
      </w:pPr>
      <w:r>
        <w:rPr>
          <w:rFonts w:hint="eastAsia"/>
        </w:rPr>
        <w:t>在实践环节，</w:t>
      </w:r>
      <w:r>
        <w:rPr>
          <w:rFonts w:hint="eastAsia"/>
          <w:lang w:val="en-US" w:eastAsia="zh-CN"/>
        </w:rPr>
        <w:t>2021年共安排26位专业硕士分别到</w:t>
      </w:r>
      <w:r>
        <w:rPr>
          <w:rFonts w:hint="eastAsia"/>
        </w:rPr>
        <w:t>福州农商银行、兴业银行福州分行、中国人民财产保险股份有限公司福州市分公司、中意人寿福建分公司、泰康养老福建分公司、平安普惠融资担保有限公司福建分公司、国泰君安福建分公司、华福证券福州分公司、闽侯县农村信用合作联社、高顿教育</w:t>
      </w:r>
      <w:r>
        <w:rPr>
          <w:rFonts w:hint="eastAsia"/>
          <w:lang w:eastAsia="zh-CN"/>
        </w:rPr>
        <w:t>等</w:t>
      </w:r>
      <w:r>
        <w:rPr>
          <w:rFonts w:hint="eastAsia"/>
          <w:lang w:eastAsia="zh-Hans"/>
        </w:rPr>
        <w:t>福建农林大学金融学专业实践教学基地</w:t>
      </w:r>
      <w:r>
        <w:rPr>
          <w:rFonts w:hint="eastAsia"/>
          <w:lang w:val="en-US" w:eastAsia="zh-CN"/>
        </w:rPr>
        <w:t>进行实践，培养学生的实际事务操作能力及观察能力，提高学生的职业操守和社会责任感。</w:t>
      </w:r>
    </w:p>
    <w:p>
      <w:pPr>
        <w:pStyle w:val="19"/>
        <w:bidi w:val="0"/>
      </w:pPr>
      <w:r>
        <w:rPr>
          <w:rFonts w:hint="eastAsia"/>
        </w:rPr>
        <w:t>二、师资力量</w:t>
      </w:r>
    </w:p>
    <w:p>
      <w:pPr>
        <w:pStyle w:val="20"/>
        <w:bidi w:val="0"/>
        <w:rPr>
          <w:rFonts w:hint="eastAsia"/>
        </w:rPr>
      </w:pPr>
      <w:r>
        <w:rPr>
          <w:rFonts w:hint="eastAsia"/>
        </w:rPr>
        <w:t>（一）师资规模</w:t>
      </w:r>
    </w:p>
    <w:p>
      <w:pPr>
        <w:bidi w:val="0"/>
      </w:pPr>
      <w:r>
        <w:rPr>
          <w:rFonts w:hint="eastAsia"/>
        </w:rPr>
        <w:t>在师资队伍方面，本学位授权点专职教学人员共</w:t>
      </w:r>
      <w:r>
        <w:t>2</w:t>
      </w:r>
      <w:r>
        <w:rPr>
          <w:rFonts w:hint="eastAsia"/>
          <w:lang w:val="en-US" w:eastAsia="zh-CN"/>
        </w:rPr>
        <w:t>5</w:t>
      </w:r>
      <w:r>
        <w:rPr>
          <w:rFonts w:hint="eastAsia"/>
        </w:rPr>
        <w:t>人，其中具有硕士生指导资格的专任教师</w:t>
      </w:r>
      <w:r>
        <w:rPr>
          <w:rFonts w:hint="eastAsia"/>
          <w:lang w:val="en-US" w:eastAsia="zh-CN"/>
        </w:rPr>
        <w:t>21</w:t>
      </w:r>
      <w:r>
        <w:rPr>
          <w:rFonts w:hint="eastAsia"/>
        </w:rPr>
        <w:t>人，招生规模</w:t>
      </w:r>
      <w:r>
        <w:rPr>
          <w:rFonts w:hint="eastAsia"/>
          <w:lang w:val="en-US" w:eastAsia="zh-CN"/>
        </w:rPr>
        <w:t>33人</w:t>
      </w:r>
      <w:r>
        <w:rPr>
          <w:rFonts w:hint="eastAsia"/>
          <w:lang w:eastAsia="zh-CN"/>
        </w:rPr>
        <w:t>，</w:t>
      </w:r>
      <w:r>
        <w:rPr>
          <w:rFonts w:hint="eastAsia"/>
        </w:rPr>
        <w:t>生师比为</w:t>
      </w:r>
      <w:r>
        <w:t>1.</w:t>
      </w:r>
      <w:r>
        <w:rPr>
          <w:rFonts w:hint="eastAsia"/>
          <w:lang w:val="en-US" w:eastAsia="zh-CN"/>
        </w:rPr>
        <w:t>57</w:t>
      </w:r>
      <w:r>
        <w:rPr>
          <w:rFonts w:hint="eastAsia"/>
        </w:rPr>
        <w:t>，平均每师每年指导学位论文</w:t>
      </w:r>
      <w:r>
        <w:rPr>
          <w:rFonts w:hint="eastAsia"/>
          <w:lang w:val="en-US" w:eastAsia="zh-CN"/>
        </w:rPr>
        <w:t>2</w:t>
      </w:r>
      <w:r>
        <w:t>.</w:t>
      </w:r>
      <w:r>
        <w:rPr>
          <w:rFonts w:hint="eastAsia"/>
          <w:lang w:val="en-US" w:eastAsia="zh-CN"/>
        </w:rPr>
        <w:t>36</w:t>
      </w:r>
      <w:r>
        <w:rPr>
          <w:rFonts w:hint="eastAsia"/>
        </w:rPr>
        <w:t>篇（平均在校研究生数与硕士生导师数的比值）。</w:t>
      </w:r>
    </w:p>
    <w:p>
      <w:pPr>
        <w:pStyle w:val="20"/>
        <w:bidi w:val="0"/>
        <w:rPr>
          <w:rFonts w:hint="eastAsia"/>
        </w:rPr>
      </w:pPr>
      <w:r>
        <w:rPr>
          <w:rFonts w:hint="eastAsia"/>
        </w:rPr>
        <w:t>（二）师资结构</w:t>
      </w:r>
    </w:p>
    <w:p>
      <w:pPr>
        <w:bidi w:val="0"/>
        <w:rPr>
          <w:rFonts w:hint="eastAsia"/>
          <w:lang w:eastAsia="zh-CN"/>
        </w:rPr>
      </w:pPr>
      <w:r>
        <w:rPr>
          <w:rFonts w:hint="eastAsia"/>
        </w:rPr>
        <w:t>现有专任教师</w:t>
      </w:r>
      <w:r>
        <w:t>2</w:t>
      </w:r>
      <w:r>
        <w:rPr>
          <w:rFonts w:hint="eastAsia"/>
          <w:lang w:val="en-US" w:eastAsia="zh-CN"/>
        </w:rPr>
        <w:t>5</w:t>
      </w:r>
      <w:r>
        <w:rPr>
          <w:rFonts w:hint="eastAsia"/>
        </w:rPr>
        <w:t>人中，</w:t>
      </w:r>
      <w:r>
        <w:rPr>
          <w:rFonts w:hint="eastAsia"/>
          <w:lang w:eastAsia="zh-CN"/>
        </w:rPr>
        <w:t>从职称结构看，</w:t>
      </w:r>
      <w:r>
        <w:rPr>
          <w:rFonts w:hint="eastAsia"/>
        </w:rPr>
        <w:t>教授</w:t>
      </w:r>
      <w:r>
        <w:rPr>
          <w:rFonts w:hint="eastAsia"/>
          <w:lang w:val="en-US" w:eastAsia="zh-CN"/>
        </w:rPr>
        <w:t>6</w:t>
      </w:r>
      <w:r>
        <w:rPr>
          <w:rFonts w:hint="eastAsia"/>
        </w:rPr>
        <w:t>人，占比</w:t>
      </w:r>
      <w:r>
        <w:rPr>
          <w:rFonts w:hint="eastAsia"/>
          <w:lang w:val="en-US" w:eastAsia="zh-CN"/>
        </w:rPr>
        <w:t>24</w:t>
      </w:r>
      <w:r>
        <w:t xml:space="preserve">.0% </w:t>
      </w:r>
      <w:r>
        <w:rPr>
          <w:rFonts w:hint="eastAsia"/>
        </w:rPr>
        <w:t>，副教授</w:t>
      </w:r>
      <w:r>
        <w:rPr>
          <w:rFonts w:hint="eastAsia"/>
          <w:lang w:val="en-US" w:eastAsia="zh-CN"/>
        </w:rPr>
        <w:t>12</w:t>
      </w:r>
      <w:r>
        <w:rPr>
          <w:rFonts w:hint="eastAsia"/>
        </w:rPr>
        <w:t>人，占比</w:t>
      </w:r>
      <w:r>
        <w:rPr>
          <w:rFonts w:hint="eastAsia"/>
          <w:lang w:val="en-US" w:eastAsia="zh-CN"/>
        </w:rPr>
        <w:t>48.0</w:t>
      </w:r>
      <w:r>
        <w:t>%</w:t>
      </w:r>
      <w:r>
        <w:rPr>
          <w:rFonts w:hint="eastAsia"/>
          <w:lang w:eastAsia="zh-CN"/>
        </w:rPr>
        <w:t>；从学历结构看，</w:t>
      </w:r>
      <w:r>
        <w:rPr>
          <w:rFonts w:hint="eastAsia"/>
        </w:rPr>
        <w:t>具有博士学位的教师</w:t>
      </w:r>
      <w:r>
        <w:rPr>
          <w:rFonts w:hint="eastAsia"/>
          <w:lang w:val="en-US" w:eastAsia="zh-CN"/>
        </w:rPr>
        <w:t>19</w:t>
      </w:r>
      <w:r>
        <w:rPr>
          <w:rFonts w:hint="eastAsia"/>
        </w:rPr>
        <w:t>人，占比</w:t>
      </w:r>
      <w:r>
        <w:rPr>
          <w:rFonts w:hint="eastAsia"/>
          <w:lang w:val="en-US" w:eastAsia="zh-CN"/>
        </w:rPr>
        <w:t>76.0</w:t>
      </w:r>
      <w:r>
        <w:t xml:space="preserve">% </w:t>
      </w:r>
      <w:r>
        <w:rPr>
          <w:rFonts w:hint="eastAsia"/>
        </w:rPr>
        <w:t>；</w:t>
      </w:r>
      <w:r>
        <w:rPr>
          <w:rFonts w:hint="eastAsia"/>
          <w:lang w:eastAsia="zh-CN"/>
        </w:rPr>
        <w:t>从行业经历看，</w:t>
      </w:r>
      <w:r>
        <w:rPr>
          <w:rFonts w:hint="eastAsia"/>
        </w:rPr>
        <w:t>在金融机构有兼职的</w:t>
      </w:r>
      <w:r>
        <w:rPr>
          <w:rFonts w:hint="eastAsia"/>
          <w:lang w:val="en-US" w:eastAsia="zh-CN"/>
        </w:rPr>
        <w:t>8</w:t>
      </w:r>
      <w:r>
        <w:rPr>
          <w:rFonts w:hint="eastAsia"/>
        </w:rPr>
        <w:t>人，占比</w:t>
      </w:r>
      <w:r>
        <w:rPr>
          <w:rFonts w:hint="eastAsia"/>
          <w:lang w:val="en-US" w:eastAsia="zh-CN"/>
        </w:rPr>
        <w:t>32.0</w:t>
      </w:r>
      <w:r>
        <w:t>%</w:t>
      </w:r>
      <w:r>
        <w:rPr>
          <w:rFonts w:hint="eastAsia"/>
          <w:lang w:eastAsia="zh-CN"/>
        </w:rPr>
        <w:t>；</w:t>
      </w:r>
      <w:r>
        <w:rPr>
          <w:rFonts w:hint="eastAsia"/>
        </w:rPr>
        <w:t>从年龄结构看，专任教师以中青年教师为主，其中</w:t>
      </w:r>
      <w:r>
        <w:t>3</w:t>
      </w:r>
      <w:r>
        <w:rPr>
          <w:rFonts w:hint="eastAsia"/>
          <w:lang w:val="en-US" w:eastAsia="zh-CN"/>
        </w:rPr>
        <w:t>5</w:t>
      </w:r>
      <w:r>
        <w:rPr>
          <w:rFonts w:hint="eastAsia"/>
        </w:rPr>
        <w:t>岁以下</w:t>
      </w:r>
      <w:r>
        <w:t xml:space="preserve"> </w:t>
      </w:r>
      <w:r>
        <w:rPr>
          <w:rFonts w:hint="eastAsia"/>
          <w:lang w:val="en-US" w:eastAsia="zh-CN"/>
        </w:rPr>
        <w:t>3</w:t>
      </w:r>
      <w:r>
        <w:rPr>
          <w:rFonts w:hint="eastAsia"/>
        </w:rPr>
        <w:t>人，占比</w:t>
      </w:r>
      <w:r>
        <w:rPr>
          <w:rFonts w:hint="eastAsia"/>
          <w:lang w:val="en-US" w:eastAsia="zh-CN"/>
        </w:rPr>
        <w:t>12.0</w:t>
      </w:r>
      <w:r>
        <w:t xml:space="preserve">% </w:t>
      </w:r>
      <w:r>
        <w:rPr>
          <w:rFonts w:hint="eastAsia"/>
        </w:rPr>
        <w:t>，</w:t>
      </w:r>
      <w:r>
        <w:t>3</w:t>
      </w:r>
      <w:r>
        <w:rPr>
          <w:rFonts w:hint="eastAsia"/>
          <w:lang w:val="en-US" w:eastAsia="zh-CN"/>
        </w:rPr>
        <w:t>6</w:t>
      </w:r>
      <w:r>
        <w:t>-4</w:t>
      </w:r>
      <w:r>
        <w:rPr>
          <w:rFonts w:hint="eastAsia"/>
          <w:lang w:val="en-US" w:eastAsia="zh-CN"/>
        </w:rPr>
        <w:t>5</w:t>
      </w:r>
      <w:r>
        <w:rPr>
          <w:rFonts w:hint="eastAsia"/>
        </w:rPr>
        <w:t>岁</w:t>
      </w:r>
      <w:r>
        <w:rPr>
          <w:rFonts w:hint="eastAsia"/>
          <w:lang w:val="en-US" w:eastAsia="zh-CN"/>
        </w:rPr>
        <w:t>12</w:t>
      </w:r>
      <w:r>
        <w:rPr>
          <w:rFonts w:hint="eastAsia"/>
        </w:rPr>
        <w:t>人，占比</w:t>
      </w:r>
      <w:r>
        <w:rPr>
          <w:rFonts w:hint="eastAsia"/>
          <w:lang w:val="en-US" w:eastAsia="zh-CN"/>
        </w:rPr>
        <w:t>48</w:t>
      </w:r>
      <w:r>
        <w:t>.</w:t>
      </w:r>
      <w:r>
        <w:rPr>
          <w:rFonts w:hint="eastAsia"/>
          <w:lang w:val="en-US" w:eastAsia="zh-CN"/>
        </w:rPr>
        <w:t>0</w:t>
      </w:r>
      <w:r>
        <w:t xml:space="preserve">% </w:t>
      </w:r>
      <w:r>
        <w:rPr>
          <w:rFonts w:hint="eastAsia"/>
        </w:rPr>
        <w:t>，</w:t>
      </w:r>
      <w:r>
        <w:t>4</w:t>
      </w:r>
      <w:r>
        <w:rPr>
          <w:rFonts w:hint="eastAsia"/>
          <w:lang w:val="en-US" w:eastAsia="zh-CN"/>
        </w:rPr>
        <w:t>6</w:t>
      </w:r>
      <w:r>
        <w:t>-</w:t>
      </w:r>
      <w:r>
        <w:rPr>
          <w:rFonts w:hint="eastAsia"/>
          <w:lang w:val="en-US" w:eastAsia="zh-CN"/>
        </w:rPr>
        <w:t>60</w:t>
      </w:r>
      <w:r>
        <w:rPr>
          <w:rFonts w:hint="eastAsia"/>
        </w:rPr>
        <w:t>岁</w:t>
      </w:r>
      <w:r>
        <w:t xml:space="preserve"> </w:t>
      </w:r>
      <w:r>
        <w:rPr>
          <w:rFonts w:hint="eastAsia"/>
          <w:lang w:val="en-US" w:eastAsia="zh-CN"/>
        </w:rPr>
        <w:t>10</w:t>
      </w:r>
      <w:r>
        <w:t xml:space="preserve"> </w:t>
      </w:r>
      <w:r>
        <w:rPr>
          <w:rFonts w:hint="eastAsia"/>
        </w:rPr>
        <w:t>人，占比</w:t>
      </w:r>
      <w:r>
        <w:rPr>
          <w:rFonts w:hint="eastAsia"/>
          <w:lang w:val="en-US" w:eastAsia="zh-CN"/>
        </w:rPr>
        <w:t>40.0</w:t>
      </w:r>
      <w:r>
        <w:t xml:space="preserve">% </w:t>
      </w:r>
      <w:r>
        <w:rPr>
          <w:rFonts w:hint="eastAsia"/>
          <w:lang w:eastAsia="zh-CN"/>
        </w:rPr>
        <w:t>。</w:t>
      </w:r>
    </w:p>
    <w:p>
      <w:pPr>
        <w:pStyle w:val="20"/>
        <w:bidi w:val="0"/>
        <w:rPr>
          <w:rFonts w:hint="eastAsia"/>
          <w:lang w:eastAsia="zh-CN"/>
        </w:rPr>
      </w:pPr>
      <w:r>
        <w:rPr>
          <w:rFonts w:hint="eastAsia"/>
          <w:lang w:eastAsia="zh-CN"/>
        </w:rPr>
        <w:t>（三）师德师风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00"/>
        <w:jc w:val="left"/>
        <w:rPr>
          <w:rFonts w:hint="eastAsia"/>
          <w:lang w:val="en-US" w:eastAsia="zh-CN"/>
        </w:rPr>
      </w:pPr>
      <w:r>
        <w:rPr>
          <w:rFonts w:hint="eastAsia"/>
          <w:lang w:val="en-US" w:eastAsia="zh-CN"/>
        </w:rPr>
        <w:t>本学位点把师德师风建设作为教师队伍建设的首要任务，在2021年取得卓越的成效。本学位点</w:t>
      </w:r>
      <w:r>
        <w:rPr>
          <w:rFonts w:hint="eastAsia"/>
          <w:lang w:eastAsia="zh-CN"/>
        </w:rPr>
        <w:t>郑海荣老师获得校优秀共产党员称号，林本喜老师被评为校优秀教师，</w:t>
      </w:r>
      <w:r>
        <w:rPr>
          <w:rFonts w:hint="eastAsia"/>
          <w:lang w:val="en-US" w:eastAsia="zh-CN"/>
        </w:rPr>
        <w:t>林</w:t>
      </w:r>
      <w:r>
        <w:rPr>
          <w:rFonts w:hint="default"/>
          <w:lang w:val="en-US" w:eastAsia="zh-CN"/>
        </w:rPr>
        <w:t>  畅、蒋  蔚、庄佩芬、游碧蓉、林小燕、苏志庆、何均琳</w:t>
      </w:r>
      <w:r>
        <w:rPr>
          <w:rFonts w:hint="eastAsia"/>
          <w:lang w:val="en-US" w:eastAsia="zh-CN"/>
        </w:rPr>
        <w:t>等7人获评校</w:t>
      </w:r>
      <w:r>
        <w:rPr>
          <w:rFonts w:hint="eastAsia"/>
          <w:lang w:eastAsia="zh-CN"/>
        </w:rPr>
        <w:t>师德考核优秀，林丽琼、王林萍、游碧蓉等</w:t>
      </w:r>
      <w:r>
        <w:rPr>
          <w:rFonts w:hint="eastAsia"/>
          <w:lang w:val="en-US" w:eastAsia="zh-CN"/>
        </w:rPr>
        <w:t>3人校</w:t>
      </w:r>
      <w:r>
        <w:rPr>
          <w:rFonts w:hint="eastAsia"/>
          <w:lang w:eastAsia="zh-CN"/>
        </w:rPr>
        <w:t>研究生导师立德树人考核优秀。本学位点</w:t>
      </w:r>
      <w:r>
        <w:rPr>
          <w:rFonts w:hint="eastAsia"/>
          <w:lang w:val="en-US" w:eastAsia="zh-CN"/>
        </w:rPr>
        <w:t>着力健全师德师风建设长效机制，组织教师认真学习文件精神，使教师明确认知教师职业道德规范、从教从业底线，自觉规范从教行为。加强师资队伍的日常管理，严格考核评价，将导师立德树人职责履行情况作为导师招生资格认定、导师团队评选、教师年度考核、职称（职务）评聘、岗位聘用、评优评先、绩效分配等工作的重要依据之一，评价结果不合格的导师实行“一票否决”。注重提升教师职业道德素养，要求教师以立德为根本、树人为核心，把立德树人内化到学生教育全过程。</w:t>
      </w:r>
      <w:r>
        <w:rPr>
          <w:rFonts w:hint="eastAsia"/>
          <w:lang w:eastAsia="zh-CN"/>
        </w:rPr>
        <w:t>教师团队发挥党支部引领和教师党员先锋模范作用，规范师德师风，落实立德树人根本任务</w:t>
      </w:r>
      <w:r>
        <w:rPr>
          <w:rFonts w:hint="eastAsia"/>
          <w:lang w:val="en-US" w:eastAsia="zh-CN"/>
        </w:rPr>
        <w:t>，积极推进“课程思政”建设。</w:t>
      </w:r>
    </w:p>
    <w:p>
      <w:pPr>
        <w:pStyle w:val="20"/>
        <w:bidi w:val="0"/>
        <w:rPr>
          <w:rFonts w:hint="eastAsia"/>
          <w:lang w:eastAsia="zh-CN"/>
        </w:rPr>
      </w:pPr>
      <w:r>
        <w:rPr>
          <w:rFonts w:hint="eastAsia"/>
          <w:lang w:eastAsia="zh-CN"/>
        </w:rPr>
        <w:t>（四）师资专业能力</w:t>
      </w:r>
    </w:p>
    <w:p>
      <w:pPr>
        <w:bidi w:val="0"/>
        <w:rPr>
          <w:rFonts w:hint="eastAsia"/>
          <w:lang w:eastAsia="zh-CN"/>
        </w:rPr>
      </w:pPr>
      <w:r>
        <w:rPr>
          <w:rFonts w:hint="eastAsia"/>
          <w:lang w:eastAsia="zh-CN"/>
        </w:rPr>
        <w:t>在专业教学与科研能力上，专业专任教师教学经验丰富，科研能力突出，教学和科研成果获得了国内外重要奖项，例如游碧蓉和林丽琼分别撰写的《</w:t>
      </w:r>
      <w:r>
        <w:rPr>
          <w:rFonts w:hint="eastAsia"/>
        </w:rPr>
        <w:t>泰禾难泰和——企业债券违约原因分析</w:t>
      </w:r>
      <w:r>
        <w:rPr>
          <w:rFonts w:hint="eastAsia"/>
          <w:lang w:eastAsia="zh-CN"/>
        </w:rPr>
        <w:t>》、《</w:t>
      </w:r>
      <w:r>
        <w:rPr>
          <w:rFonts w:hint="eastAsia"/>
        </w:rPr>
        <w:t>从质疑到拥抱：PTA期货定价权争夺战始末</w:t>
      </w:r>
      <w:r>
        <w:rPr>
          <w:rFonts w:hint="eastAsia"/>
          <w:lang w:eastAsia="zh-CN"/>
        </w:rPr>
        <w:t>》均在</w:t>
      </w:r>
      <w:r>
        <w:rPr>
          <w:rFonts w:hint="eastAsia"/>
        </w:rPr>
        <w:t>第七届（2021年）全国金融硕士教学案例</w:t>
      </w:r>
      <w:r>
        <w:rPr>
          <w:rFonts w:hint="eastAsia"/>
          <w:lang w:eastAsia="zh-CN"/>
        </w:rPr>
        <w:t>大赛中获奖。</w:t>
      </w:r>
      <w:r>
        <w:rPr>
          <w:rFonts w:hint="eastAsia"/>
        </w:rPr>
        <w:t>林本喜</w:t>
      </w:r>
      <w:r>
        <w:rPr>
          <w:rFonts w:hint="eastAsia"/>
          <w:lang w:eastAsia="zh-CN"/>
        </w:rPr>
        <w:t>参与的《</w:t>
      </w:r>
      <w:r>
        <w:rPr>
          <w:rFonts w:hint="eastAsia"/>
        </w:rPr>
        <w:t>“三化协同”的科研资源向教学资源高质量转化模式</w:t>
      </w:r>
      <w:r>
        <w:rPr>
          <w:rFonts w:hint="eastAsia"/>
          <w:lang w:eastAsia="zh-CN"/>
        </w:rPr>
        <w:t>——</w:t>
      </w:r>
      <w:r>
        <w:rPr>
          <w:rFonts w:hint="eastAsia"/>
        </w:rPr>
        <w:t>以农村家庭调查数据库建设为载体的学生综合能力培养实践</w:t>
      </w:r>
      <w:r>
        <w:rPr>
          <w:rFonts w:hint="eastAsia"/>
          <w:lang w:eastAsia="zh-CN"/>
        </w:rPr>
        <w:t>》获得</w:t>
      </w:r>
      <w:r>
        <w:rPr>
          <w:rFonts w:hint="eastAsia"/>
        </w:rPr>
        <w:t>浙江大学教学成果一等奖</w:t>
      </w:r>
      <w:r>
        <w:rPr>
          <w:rFonts w:hint="eastAsia"/>
          <w:lang w:eastAsia="zh-CN"/>
        </w:rPr>
        <w:t>。</w:t>
      </w:r>
      <w:r>
        <w:rPr>
          <w:rFonts w:hint="eastAsia"/>
        </w:rPr>
        <w:t>张小芹</w:t>
      </w:r>
      <w:r>
        <w:rPr>
          <w:rFonts w:hint="eastAsia"/>
          <w:lang w:eastAsia="zh-CN"/>
        </w:rPr>
        <w:t>的《</w:t>
      </w:r>
      <w:r>
        <w:rPr>
          <w:rFonts w:hint="eastAsia"/>
        </w:rPr>
        <w:t>新冠疫情对保险公司股价的影响与溢出效应检验</w:t>
      </w:r>
      <w:r>
        <w:rPr>
          <w:rFonts w:hint="eastAsia"/>
          <w:lang w:eastAsia="zh-CN"/>
        </w:rPr>
        <w:t>》获</w:t>
      </w:r>
      <w:r>
        <w:rPr>
          <w:rFonts w:hint="eastAsia"/>
        </w:rPr>
        <w:t>福建省保险学会课题立项奖优秀奖</w:t>
      </w:r>
      <w:r>
        <w:rPr>
          <w:rFonts w:hint="eastAsia"/>
          <w:lang w:eastAsia="zh-CN"/>
        </w:rPr>
        <w:t>。</w:t>
      </w:r>
      <w:r>
        <w:rPr>
          <w:rFonts w:hint="eastAsia"/>
        </w:rPr>
        <w:t>李坤明</w:t>
      </w:r>
      <w:r>
        <w:rPr>
          <w:rFonts w:hint="eastAsia"/>
          <w:lang w:eastAsia="zh-CN"/>
        </w:rPr>
        <w:t>的</w:t>
      </w:r>
      <w:r>
        <w:rPr>
          <w:rFonts w:hint="eastAsia"/>
        </w:rPr>
        <w:t>《空间滞后分位数回归模型的截面估计法》</w:t>
      </w:r>
      <w:r>
        <w:rPr>
          <w:rFonts w:hint="eastAsia"/>
          <w:lang w:eastAsia="zh-CN"/>
        </w:rPr>
        <w:t>和《</w:t>
      </w:r>
      <w:r>
        <w:rPr>
          <w:rFonts w:hint="eastAsia"/>
        </w:rPr>
        <w:t>税收竞争对碳排放强度影响的门槛效应和传导机制分析</w:t>
      </w:r>
      <w:r>
        <w:rPr>
          <w:rFonts w:hint="eastAsia"/>
          <w:lang w:eastAsia="zh-CN"/>
        </w:rPr>
        <w:t>》获</w:t>
      </w:r>
      <w:r>
        <w:rPr>
          <w:rFonts w:hint="eastAsia"/>
        </w:rPr>
        <w:t>福建省第十四届社会科学优秀成果奖三等奖</w:t>
      </w:r>
      <w:r>
        <w:rPr>
          <w:rFonts w:hint="eastAsia"/>
          <w:lang w:eastAsia="zh-CN"/>
        </w:rPr>
        <w:t>和</w:t>
      </w:r>
      <w:r>
        <w:rPr>
          <w:rFonts w:hint="eastAsia"/>
        </w:rPr>
        <w:t>福建省宏观经济学会年会优秀论文奖三等奖</w:t>
      </w:r>
      <w:r>
        <w:rPr>
          <w:rFonts w:hint="eastAsia"/>
          <w:lang w:eastAsia="zh-CN"/>
        </w:rPr>
        <w:t>。</w:t>
      </w:r>
    </w:p>
    <w:p>
      <w:pPr>
        <w:bidi w:val="0"/>
        <w:rPr>
          <w:rFonts w:hint="eastAsia"/>
          <w:lang w:val="en-US" w:eastAsia="zh-CN"/>
        </w:rPr>
      </w:pPr>
      <w:r>
        <w:rPr>
          <w:rFonts w:hint="eastAsia"/>
          <w:lang w:val="en-US" w:eastAsia="zh-CN"/>
        </w:rPr>
        <w:t>社会服务能力上，学位点在智库建设、咨政研究方面取得了一定成效，郑海荣老师的一篇决策咨询报告被福建省地方金融监督管理局采纳，并获得省政府主要领导的肯定性批示。游碧蓉老师的关于完善制度充分发挥学生在高校课堂评教体系中作用的建议被《社情民意信息》（闽协办信呈（2021）1305号）收录。这些成果体现了学位点在金融监管、教学制度完善上的深入探索。同时，本学位点向社会提供咨询服务获得的课题经费共53.8万元，在社会上享有较高的知名度。</w:t>
      </w:r>
    </w:p>
    <w:p>
      <w:pPr>
        <w:bidi w:val="0"/>
        <w:rPr>
          <w:rFonts w:hint="default"/>
          <w:lang w:val="en-US" w:eastAsia="zh-CN"/>
        </w:rPr>
      </w:pPr>
      <w:r>
        <w:rPr>
          <w:rFonts w:hint="eastAsia"/>
          <w:lang w:val="en-US" w:eastAsia="zh-CN"/>
        </w:rPr>
        <w:t>为进一步提高专业导师的专业能力，本学位点积极鼓励教师参与多形式的教师培训活动，如组织教师参加了教育部全国高校教师网络培训中心举办的“高校课程思政教学能力”、福建省学位办举办的“全省研究生导师培训会”、厦门大学教师发展中心举办的“课程思政与专业思政建设及教师思政能力提升研修班”以及校内各种教师培训活动。</w:t>
      </w:r>
    </w:p>
    <w:p>
      <w:pPr>
        <w:pStyle w:val="19"/>
        <w:bidi w:val="0"/>
        <w:rPr>
          <w:rFonts w:hint="eastAsia"/>
        </w:rPr>
      </w:pPr>
      <w:r>
        <w:rPr>
          <w:rFonts w:hint="eastAsia"/>
        </w:rPr>
        <w:t>三、教学管理</w:t>
      </w:r>
    </w:p>
    <w:p>
      <w:pPr>
        <w:pStyle w:val="20"/>
        <w:bidi w:val="0"/>
        <w:rPr>
          <w:rFonts w:hint="eastAsia"/>
          <w:lang w:eastAsia="zh-CN"/>
        </w:rPr>
      </w:pPr>
      <w:r>
        <w:rPr>
          <w:rFonts w:hint="eastAsia"/>
          <w:lang w:eastAsia="zh-CN"/>
        </w:rPr>
        <w:t xml:space="preserve">（一）机构设置 </w:t>
      </w:r>
    </w:p>
    <w:p>
      <w:pPr>
        <w:pStyle w:val="4"/>
      </w:pPr>
      <w:r>
        <w:rPr>
          <w:rFonts w:hint="eastAsia"/>
        </w:rPr>
        <w:t>学校和学院</w:t>
      </w:r>
      <w:r>
        <w:rPr>
          <w:rFonts w:hint="eastAsia"/>
          <w:lang w:eastAsia="zh-CN"/>
        </w:rPr>
        <w:t>设</w:t>
      </w:r>
      <w:r>
        <w:rPr>
          <w:rFonts w:hint="eastAsia"/>
        </w:rPr>
        <w:t>有专门的学位点管理机构和管理人员。学校设有专业学位办公室对学位点进行宏观指导与管理，</w:t>
      </w:r>
      <w:r>
        <w:rPr>
          <w:rFonts w:hint="eastAsia"/>
          <w:lang w:eastAsia="zh-CN"/>
        </w:rPr>
        <w:t>学院设立了经济管理学院专业学位教育中心，中心设有主任</w:t>
      </w:r>
      <w:r>
        <w:rPr>
          <w:rFonts w:hint="eastAsia"/>
          <w:lang w:val="en-US" w:eastAsia="zh-CN"/>
        </w:rPr>
        <w:t>1人（由学院分管研究生工作的副院长兼任）、副主任2人，专职工作人员3人。</w:t>
      </w:r>
      <w:r>
        <w:rPr>
          <w:rFonts w:hint="eastAsia"/>
        </w:rPr>
        <w:t>学位点设有专职的研究生教务秘书和研究生教务员各</w:t>
      </w:r>
      <w:r>
        <w:t>1</w:t>
      </w:r>
      <w:r>
        <w:rPr>
          <w:rFonts w:hint="eastAsia"/>
        </w:rPr>
        <w:t>人，负责学生学籍注册、日常教学运行管理、组织培养方案论证、组织任课教师编写教学大纲、试卷最终归档等具体工作，并按学校要求安排组织实践、论文开题、中期考核、论文送审、论文答辩等具体工作。同时拥有分管研究生的学院副书记和辅导员</w:t>
      </w:r>
      <w:r>
        <w:t>1</w:t>
      </w:r>
      <w:r>
        <w:rPr>
          <w:rFonts w:hint="eastAsia"/>
        </w:rPr>
        <w:t>人，负责学生的日常生活协调帮助和心理辅导等工作。学位点还确立了学科负责人和学科秘书，负责培育学科梯队，凝练学科优势，提升学科水平，加强学科建设与管理。</w:t>
      </w:r>
    </w:p>
    <w:p>
      <w:pPr>
        <w:pStyle w:val="20"/>
        <w:bidi w:val="0"/>
        <w:rPr>
          <w:rFonts w:hint="eastAsia"/>
          <w:lang w:eastAsia="zh-CN"/>
        </w:rPr>
      </w:pPr>
      <w:r>
        <w:rPr>
          <w:rFonts w:hint="eastAsia"/>
          <w:lang w:eastAsia="zh-CN"/>
        </w:rPr>
        <w:t>（二）制度建设</w:t>
      </w:r>
    </w:p>
    <w:p>
      <w:pPr>
        <w:pStyle w:val="21"/>
        <w:bidi w:val="0"/>
      </w:pPr>
      <w:r>
        <w:t xml:space="preserve">1. </w:t>
      </w:r>
      <w:r>
        <w:rPr>
          <w:rFonts w:hint="eastAsia"/>
        </w:rPr>
        <w:t>教学管理制度建设</w:t>
      </w:r>
    </w:p>
    <w:p>
      <w:pPr>
        <w:bidi w:val="0"/>
      </w:pPr>
      <w:r>
        <w:rPr>
          <w:rFonts w:hint="eastAsia"/>
        </w:rPr>
        <w:t>本学位点已有较为完善的研究生教学管理制度，为保证培养质量提供了有力的制度支持。</w:t>
      </w:r>
    </w:p>
    <w:p>
      <w:pPr>
        <w:bidi w:val="0"/>
      </w:pPr>
      <w:r>
        <w:t xml:space="preserve">(1) </w:t>
      </w:r>
      <w:r>
        <w:rPr>
          <w:rFonts w:hint="eastAsia"/>
        </w:rPr>
        <w:t>课程教学：《福建农林大学研究生课程教学管理办法》对任课教师资格条件、课程设置要求、教学大纲与教学计划的制定和管理、教材主要参考书与选读文献、教学内容与方式、课程安排与教学纪律、选课修课、课程考核、成绩评定及管理、教学质量评价、教学档案管理等都进行了详细的规范。</w:t>
      </w:r>
    </w:p>
    <w:p>
      <w:pPr>
        <w:bidi w:val="0"/>
      </w:pPr>
      <w:r>
        <w:t xml:space="preserve">(2) </w:t>
      </w:r>
      <w:r>
        <w:rPr>
          <w:rFonts w:hint="eastAsia"/>
        </w:rPr>
        <w:t>实践教学：《福建农林大学全日制硕士专业学位研究生专业实践管理办法（试行）》、《经济学院金融硕士全日制专业学位研究生专业实践教学工作方案（试行）》、《福建农林大学全日制硕士专业学位研究生实践基地建设及管理暂行办法》分别对研究生的专业实践教学过程和专业实践基地建设进行了规范，并对学校和学院相关管理部门的权责进行了详细的规定。</w:t>
      </w:r>
    </w:p>
    <w:p>
      <w:pPr>
        <w:bidi w:val="0"/>
      </w:pPr>
      <w:r>
        <w:t xml:space="preserve">(3) </w:t>
      </w:r>
      <w:r>
        <w:rPr>
          <w:rFonts w:hint="eastAsia"/>
        </w:rPr>
        <w:t>毕业论文：《福建农林大学全日制专业学位研究生学位论文开题报告暂行规定》、《福建农林大学专业学位研究生中期考核办法（试行）》、《福建农林大学研究生学位论文评审工作管理办法（试行）》、《经济学院研究生论文评审工作管理实施细则》等对研究生的毕业论文从开题到送审进行全过程的监管。</w:t>
      </w:r>
    </w:p>
    <w:p>
      <w:pPr>
        <w:bidi w:val="0"/>
      </w:pPr>
      <w:r>
        <w:t xml:space="preserve">(4) </w:t>
      </w:r>
      <w:r>
        <w:rPr>
          <w:rFonts w:hint="eastAsia"/>
        </w:rPr>
        <w:t>论文答辩及学位授予：为保证研究生学位授予质量，加强学位论文答辩管理工作，根据《福建农林大学学位授予实施细则》规定，学校每年制定并发布《福建农林大学关于规范研究生学位论文答辩程序的通知》规范学位论文答辩程序。同时为做好全国和福建省优秀学位论文评选的推荐工作，鼓励研究生刻苦钻研，努力创新，制定《福建农林大学研究生优秀学位论文评选及奖励办法（试行）》。对于符合条件的毕业生，根据《福建农林大学学位授予实施细则》授予学位。</w:t>
      </w:r>
    </w:p>
    <w:p>
      <w:pPr>
        <w:pStyle w:val="21"/>
        <w:bidi w:val="0"/>
      </w:pPr>
      <w:r>
        <w:t xml:space="preserve">2. </w:t>
      </w:r>
      <w:r>
        <w:rPr>
          <w:rFonts w:hint="eastAsia"/>
        </w:rPr>
        <w:t>教学档案管理</w:t>
      </w:r>
    </w:p>
    <w:p>
      <w:pPr>
        <w:bidi w:val="0"/>
        <w:rPr>
          <w:rFonts w:ascii="宋体"/>
          <w:color w:val="000000"/>
          <w:szCs w:val="24"/>
        </w:rPr>
      </w:pPr>
      <w:r>
        <w:rPr>
          <w:rFonts w:hint="eastAsia"/>
        </w:rPr>
        <w:t>学校制定了严格的教学档案管理制度。《福建农林大学研究生课程教学管理办法》规定任课教师在考试结束后必须将研究生考试试卷或课程论文及成绩登记表提交给学院，由学院安排专人整理归档，并保存至研究生毕业后三年。</w:t>
      </w:r>
    </w:p>
    <w:p>
      <w:pPr>
        <w:pStyle w:val="20"/>
        <w:bidi w:val="0"/>
        <w:rPr>
          <w:rFonts w:hint="eastAsia"/>
          <w:lang w:eastAsia="zh-CN"/>
        </w:rPr>
      </w:pPr>
      <w:r>
        <w:rPr>
          <w:rFonts w:hint="eastAsia"/>
          <w:lang w:eastAsia="zh-CN"/>
        </w:rPr>
        <w:t xml:space="preserve">（三）教学评估系统 </w:t>
      </w:r>
    </w:p>
    <w:p>
      <w:pPr>
        <w:pStyle w:val="21"/>
        <w:bidi w:val="0"/>
      </w:pPr>
      <w:r>
        <w:t xml:space="preserve">1. </w:t>
      </w:r>
      <w:r>
        <w:rPr>
          <w:rFonts w:hint="eastAsia"/>
        </w:rPr>
        <w:t>教学评估系统</w:t>
      </w:r>
    </w:p>
    <w:p>
      <w:pPr>
        <w:bidi w:val="0"/>
      </w:pPr>
      <w:r>
        <w:rPr>
          <w:rFonts w:hint="eastAsia"/>
        </w:rPr>
        <w:t>本学位点建立课程教学质量评价与反馈制度，成立以学院党政领导和骨干教师为成员的教学督导组，强化教学质量过程管理，通过教师自评、专家评教、领导评教和学生评教对任课教师</w:t>
      </w:r>
      <w:r>
        <w:rPr>
          <w:rFonts w:hint="eastAsia"/>
          <w:lang w:eastAsia="zh-CN"/>
        </w:rPr>
        <w:t>进行</w:t>
      </w:r>
      <w:r>
        <w:rPr>
          <w:rFonts w:hint="eastAsia"/>
        </w:rPr>
        <w:t>全面客观的评价，形成教师自我约束为主，制度监督为辅的教学质量保证体系，保证了各环节的教学质量。学校聘请一批有丰富教学经验的教师组成督导组，对研究生课程教学情况进行调研、督导和指导。学院每学期组织随堂听课、召开任课教师和研究生座谈会及组织研究生进行课程教学质量测评，掌握各门课程的教学情况，并把各类教学评价结果作为任课教师岗位聘任和岗位津贴的评定依据。</w:t>
      </w:r>
    </w:p>
    <w:p>
      <w:pPr>
        <w:pStyle w:val="21"/>
        <w:bidi w:val="0"/>
      </w:pPr>
      <w:r>
        <w:t xml:space="preserve">2. </w:t>
      </w:r>
      <w:r>
        <w:rPr>
          <w:rFonts w:hint="eastAsia"/>
        </w:rPr>
        <w:t>任课教师选用、评价机制</w:t>
      </w:r>
    </w:p>
    <w:p>
      <w:pPr>
        <w:bidi w:val="0"/>
      </w:pPr>
      <w:r>
        <w:t xml:space="preserve">(1) </w:t>
      </w:r>
      <w:r>
        <w:rPr>
          <w:rFonts w:hint="eastAsia"/>
        </w:rPr>
        <w:t>任课教师：任课老师的选用严格按照《福建农林大学研究生课程教学管理办法》中的要求，由具有</w:t>
      </w:r>
      <w:r>
        <w:t>4</w:t>
      </w:r>
      <w:r>
        <w:rPr>
          <w:rFonts w:hint="eastAsia"/>
        </w:rPr>
        <w:t>年以上教学、科研经验的或科研经验丰富、具有博士学位的优秀教师担任。</w:t>
      </w:r>
    </w:p>
    <w:p>
      <w:pPr>
        <w:bidi w:val="0"/>
      </w:pPr>
      <w:r>
        <w:t>(2)</w:t>
      </w:r>
      <w:r>
        <w:rPr>
          <w:rFonts w:hint="eastAsia"/>
        </w:rPr>
        <w:t>校内导师：本学位点根据《福建农林大学研究生指导教师招生资格认定与管理办法（试行）》对导师资格进行认定，不定期举行研究生导师培训会。学校制定了《研究生导师手册》，规范了导师指导研究生的制度要求，对违纪违法、违反学术道德和社会公德的导师，对不履行导师职责，难以保证研究生培养质量的导师，学校将视其情节、影响程度和认识态度给予批评教育及减少招生指标、取消一年或三年的招生资格等处罚。</w:t>
      </w:r>
    </w:p>
    <w:p>
      <w:pPr>
        <w:bidi w:val="0"/>
      </w:pPr>
      <w:r>
        <w:rPr>
          <w:rFonts w:hint="eastAsia"/>
        </w:rPr>
        <w:t>（</w:t>
      </w:r>
      <w:r>
        <w:t>3</w:t>
      </w:r>
      <w:r>
        <w:rPr>
          <w:rFonts w:hint="eastAsia"/>
        </w:rPr>
        <w:t>）校外导师：按照《福建农林大学专业学位研究生校外指导教师聘任办法》的规定，选聘有能力、有精力指导研究生专业实践的行业专家或高级管理人员作为我校的专业学位研究生校外指导教师。</w:t>
      </w:r>
    </w:p>
    <w:p>
      <w:pPr>
        <w:pStyle w:val="19"/>
        <w:bidi w:val="0"/>
        <w:rPr>
          <w:rFonts w:hint="eastAsia"/>
        </w:rPr>
      </w:pPr>
      <w:r>
        <w:rPr>
          <w:rFonts w:hint="eastAsia"/>
        </w:rPr>
        <w:t>四、办学条件</w:t>
      </w:r>
    </w:p>
    <w:p>
      <w:pPr>
        <w:pStyle w:val="20"/>
        <w:bidi w:val="0"/>
        <w:rPr>
          <w:rFonts w:hint="eastAsia"/>
          <w:lang w:eastAsia="zh-CN"/>
        </w:rPr>
      </w:pPr>
      <w:r>
        <w:rPr>
          <w:rFonts w:hint="eastAsia"/>
          <w:lang w:eastAsia="zh-CN"/>
        </w:rPr>
        <w:t>（一）教学设施</w:t>
      </w:r>
    </w:p>
    <w:p>
      <w:pPr>
        <w:pStyle w:val="21"/>
        <w:bidi w:val="0"/>
      </w:pPr>
      <w:r>
        <w:t xml:space="preserve">1. </w:t>
      </w:r>
      <w:r>
        <w:rPr>
          <w:rFonts w:hint="eastAsia"/>
        </w:rPr>
        <w:t>案例教学设施</w:t>
      </w:r>
    </w:p>
    <w:p>
      <w:pPr>
        <w:bidi w:val="0"/>
      </w:pPr>
      <w:r>
        <w:rPr>
          <w:rFonts w:hint="eastAsia"/>
        </w:rPr>
        <w:t>本学位点拥有专用金融案例教室两间，面积总共约</w:t>
      </w:r>
      <w:r>
        <w:t>200</w:t>
      </w:r>
      <w:r>
        <w:rPr>
          <w:rFonts w:hint="eastAsia"/>
        </w:rPr>
        <w:t>平方米，可供</w:t>
      </w:r>
      <w:r>
        <w:t>80</w:t>
      </w:r>
      <w:r>
        <w:rPr>
          <w:rFonts w:hint="eastAsia"/>
        </w:rPr>
        <w:t>名左右的研究生进行案例教学和研讨使用。</w:t>
      </w:r>
    </w:p>
    <w:p>
      <w:pPr>
        <w:pStyle w:val="21"/>
        <w:bidi w:val="0"/>
      </w:pPr>
      <w:r>
        <w:t xml:space="preserve">2. </w:t>
      </w:r>
      <w:r>
        <w:rPr>
          <w:rFonts w:hint="eastAsia"/>
        </w:rPr>
        <w:t>金融实验室设备</w:t>
      </w:r>
    </w:p>
    <w:p>
      <w:pPr>
        <w:bidi w:val="0"/>
      </w:pPr>
      <w:r>
        <w:rPr>
          <w:rFonts w:hint="eastAsia"/>
        </w:rPr>
        <w:t>学院配备专业实验室和多媒体实验室。现有农林经济管理系统模拟实验室、管理信息系统实验室（校公用）、计量经济与统计分析实验室和证券模拟实训室</w:t>
      </w:r>
      <w:r>
        <w:t xml:space="preserve"> 4</w:t>
      </w:r>
      <w:r>
        <w:rPr>
          <w:rFonts w:hint="eastAsia"/>
        </w:rPr>
        <w:t>个实验室和创智金融大数据校内实训基地。仅农林经济管理系统模拟实验室总面积</w:t>
      </w:r>
      <w:r>
        <w:t>230</w:t>
      </w:r>
      <w:r>
        <w:rPr>
          <w:rFonts w:hint="eastAsia"/>
        </w:rPr>
        <w:t>平米，仪器设备总值</w:t>
      </w:r>
      <w:r>
        <w:t>550</w:t>
      </w:r>
      <w:r>
        <w:rPr>
          <w:rFonts w:hint="eastAsia"/>
        </w:rPr>
        <w:t>万元，常年开设实验项目</w:t>
      </w:r>
      <w:r>
        <w:t>30</w:t>
      </w:r>
      <w:r>
        <w:rPr>
          <w:rFonts w:hint="eastAsia"/>
        </w:rPr>
        <w:t>个，可供团队研究人员完成数据处理和分析、区域和企业的模拟决策、农业和农村统计数据查询、上市公司数据库查询等；特别是宏观经济、金融数据库以及金融工程软件系统为金融专业实验和科学研究等提供保障。</w:t>
      </w:r>
    </w:p>
    <w:p>
      <w:pPr>
        <w:pStyle w:val="21"/>
        <w:bidi w:val="0"/>
      </w:pPr>
      <w:r>
        <w:t xml:space="preserve">3. </w:t>
      </w:r>
      <w:r>
        <w:rPr>
          <w:rFonts w:hint="eastAsia"/>
        </w:rPr>
        <w:t>教学科研工作平台</w:t>
      </w:r>
    </w:p>
    <w:p>
      <w:pPr>
        <w:bidi w:val="0"/>
      </w:pPr>
      <w:r>
        <w:rPr>
          <w:rFonts w:hint="eastAsia"/>
        </w:rPr>
        <w:t>本学位点</w:t>
      </w:r>
      <w:r>
        <w:rPr>
          <w:rFonts w:hint="eastAsia"/>
          <w:lang w:eastAsia="zh-CN"/>
        </w:rPr>
        <w:t>拥有</w:t>
      </w:r>
      <w:r>
        <w:rPr>
          <w:rFonts w:hint="eastAsia"/>
        </w:rPr>
        <w:t>国别和区域研究中心</w:t>
      </w:r>
      <w:r>
        <w:t>——</w:t>
      </w:r>
      <w:r>
        <w:rPr>
          <w:rFonts w:hint="eastAsia"/>
        </w:rPr>
        <w:t>“南太平洋岛国研究中心”（教育部批准的部级创新平台）、福建普惠金融研究院（既是省教育厅批准的福建省高校特色新型智库，也是与福建省农村信用合作联社共建的省级智库）、福建农林大学海上丝绸之路可持续发展研究院（与“海上丝绸之路投资基金管理中心”和“海上丝绸之路智库咨询有限公司”共建）。</w:t>
      </w:r>
    </w:p>
    <w:p>
      <w:pPr>
        <w:pStyle w:val="21"/>
        <w:bidi w:val="0"/>
      </w:pPr>
      <w:r>
        <w:t xml:space="preserve">4. </w:t>
      </w:r>
      <w:r>
        <w:rPr>
          <w:rFonts w:hint="eastAsia"/>
        </w:rPr>
        <w:t>校外教学实践基地</w:t>
      </w:r>
    </w:p>
    <w:p>
      <w:pPr>
        <w:bidi w:val="0"/>
        <w:rPr>
          <w:rFonts w:ascii="宋体"/>
          <w:color w:val="000000"/>
          <w:szCs w:val="24"/>
        </w:rPr>
      </w:pPr>
      <w:r>
        <w:rPr>
          <w:rFonts w:hint="eastAsia"/>
        </w:rPr>
        <w:t>金融专业硕士点拥有福州农商银行、兴业银行福州分行、中国人民财产保险股份有限公司福州市分公司、中意人寿福建分公司、泰康养老福建分公司、平安普惠融资担保有限公司福建分公司、国泰君安福建分公司、华福证券福州分公司、闽侯县农村信用合作联社、高顿教育</w:t>
      </w:r>
      <w:r>
        <w:rPr>
          <w:rFonts w:hint="eastAsia"/>
          <w:lang w:val="en-US" w:eastAsia="zh-CN"/>
        </w:rPr>
        <w:t>10</w:t>
      </w:r>
      <w:r>
        <w:rPr>
          <w:rFonts w:hint="eastAsia"/>
        </w:rPr>
        <w:t>个校外教学实践基地。</w:t>
      </w:r>
      <w:r>
        <w:rPr>
          <w:rFonts w:hint="eastAsia"/>
          <w:lang w:eastAsia="zh-CN"/>
        </w:rPr>
        <w:t>实习基地涵盖银行、证券、保险等金融主要行业，可以为学生提供全方位的金融实习</w:t>
      </w:r>
      <w:r>
        <w:rPr>
          <w:rFonts w:hint="eastAsia"/>
        </w:rPr>
        <w:t>。</w:t>
      </w:r>
    </w:p>
    <w:p>
      <w:pPr>
        <w:pStyle w:val="20"/>
        <w:bidi w:val="0"/>
        <w:rPr>
          <w:rFonts w:hint="eastAsia"/>
          <w:lang w:eastAsia="zh-CN"/>
        </w:rPr>
      </w:pPr>
      <w:r>
        <w:rPr>
          <w:rFonts w:hint="eastAsia"/>
          <w:lang w:eastAsia="zh-CN"/>
        </w:rPr>
        <w:t>（二）政策支持</w:t>
      </w:r>
    </w:p>
    <w:p>
      <w:pPr>
        <w:bidi w:val="0"/>
        <w:rPr>
          <w:rFonts w:hint="eastAsia"/>
        </w:rPr>
      </w:pPr>
      <w:r>
        <w:rPr>
          <w:rFonts w:hint="eastAsia"/>
        </w:rPr>
        <w:t>本学位点的学生培养经费来源于学费收入和教育厅拨款，本学位点每生每年学费</w:t>
      </w:r>
      <w:r>
        <w:t>8000</w:t>
      </w:r>
      <w:r>
        <w:rPr>
          <w:rFonts w:hint="eastAsia"/>
        </w:rPr>
        <w:t>元，教育厅拨款每生每年</w:t>
      </w:r>
      <w:r>
        <w:t>13000</w:t>
      </w:r>
      <w:r>
        <w:rPr>
          <w:rFonts w:hint="eastAsia"/>
        </w:rPr>
        <w:t>元。培养经费的支出包括导师论文指导费、教育补助经费、教学维持费、专业实践费，经费</w:t>
      </w:r>
      <w:r>
        <w:rPr>
          <w:rFonts w:hint="eastAsia"/>
          <w:lang w:eastAsia="zh-CN"/>
        </w:rPr>
        <w:t>分</w:t>
      </w:r>
      <w:r>
        <w:rPr>
          <w:rFonts w:hint="eastAsia"/>
        </w:rPr>
        <w:t>别为</w:t>
      </w:r>
      <w:r>
        <w:t>1000</w:t>
      </w:r>
      <w:r>
        <w:rPr>
          <w:rFonts w:hint="eastAsia"/>
        </w:rPr>
        <w:t>元</w:t>
      </w:r>
      <w:r>
        <w:t>/</w:t>
      </w:r>
      <w:r>
        <w:rPr>
          <w:rFonts w:hint="eastAsia"/>
        </w:rPr>
        <w:t>年、</w:t>
      </w:r>
      <w:r>
        <w:t>3500</w:t>
      </w:r>
      <w:r>
        <w:rPr>
          <w:rFonts w:hint="eastAsia"/>
        </w:rPr>
        <w:t>元</w:t>
      </w:r>
      <w:r>
        <w:t>/</w:t>
      </w:r>
      <w:r>
        <w:rPr>
          <w:rFonts w:hint="eastAsia"/>
        </w:rPr>
        <w:t>年</w:t>
      </w:r>
      <w:r>
        <w:t>.</w:t>
      </w:r>
      <w:r>
        <w:rPr>
          <w:rFonts w:hint="eastAsia"/>
        </w:rPr>
        <w:t>生、</w:t>
      </w:r>
      <w:r>
        <w:t>330</w:t>
      </w:r>
      <w:r>
        <w:rPr>
          <w:rFonts w:hint="eastAsia"/>
        </w:rPr>
        <w:t>元</w:t>
      </w:r>
      <w:r>
        <w:t>/</w:t>
      </w:r>
      <w:r>
        <w:rPr>
          <w:rFonts w:hint="eastAsia"/>
        </w:rPr>
        <w:t>生和</w:t>
      </w:r>
      <w:r>
        <w:t>1860</w:t>
      </w:r>
      <w:r>
        <w:rPr>
          <w:rFonts w:hint="eastAsia"/>
        </w:rPr>
        <w:t>元</w:t>
      </w:r>
      <w:r>
        <w:t>/</w:t>
      </w:r>
      <w:r>
        <w:rPr>
          <w:rFonts w:hint="eastAsia"/>
        </w:rPr>
        <w:t>生。导师指导和专业课教学补贴由学校统一划拨。基础设施建设及仪器设备采购由学校和学院专项经费提供支持。</w:t>
      </w:r>
    </w:p>
    <w:p>
      <w:pPr>
        <w:bidi w:val="0"/>
        <w:rPr>
          <w:rFonts w:hint="eastAsia"/>
        </w:rPr>
      </w:pPr>
      <w:r>
        <w:rPr>
          <w:rFonts w:hint="eastAsia"/>
        </w:rPr>
        <w:t>本学位点已形成较为完善的奖助体系，奖助力度较大、覆盖面广，主要包括</w:t>
      </w:r>
      <w:r>
        <w:rPr>
          <w:rFonts w:hint="eastAsia"/>
          <w:lang w:eastAsia="zh-CN"/>
        </w:rPr>
        <w:t>学业</w:t>
      </w:r>
      <w:r>
        <w:rPr>
          <w:rFonts w:hint="eastAsia"/>
        </w:rPr>
        <w:t>奖学金、</w:t>
      </w:r>
      <w:r>
        <w:rPr>
          <w:rFonts w:hint="eastAsia"/>
          <w:lang w:eastAsia="zh-CN"/>
        </w:rPr>
        <w:t>国家</w:t>
      </w:r>
      <w:r>
        <w:rPr>
          <w:rFonts w:hint="eastAsia"/>
        </w:rPr>
        <w:t>奖学金</w:t>
      </w:r>
      <w:r>
        <w:rPr>
          <w:rFonts w:hint="eastAsia"/>
          <w:lang w:eastAsia="zh-CN"/>
        </w:rPr>
        <w:t>、助学金</w:t>
      </w:r>
      <w:r>
        <w:rPr>
          <w:rFonts w:hint="eastAsia"/>
        </w:rPr>
        <w:t>和助研助岗补贴等多种奖助措施。</w:t>
      </w:r>
      <w:r>
        <w:rPr>
          <w:rFonts w:hint="eastAsia"/>
          <w:lang w:val="en-US" w:eastAsia="zh-CN"/>
        </w:rPr>
        <w:t>2021年本学位</w:t>
      </w:r>
      <w:r>
        <w:rPr>
          <w:rFonts w:hint="eastAsia"/>
          <w:lang w:eastAsia="zh-CN"/>
        </w:rPr>
        <w:t>点</w:t>
      </w:r>
      <w:r>
        <w:rPr>
          <w:rFonts w:hint="eastAsia"/>
          <w:lang w:val="en-US" w:eastAsia="zh-CN"/>
        </w:rPr>
        <w:t>共有34位学生获得24.3万元学业奖学金资助、1位同学获得2万元国家奖学金的资助，共向91位学生发放助学金51.84万元</w:t>
      </w:r>
      <w:r>
        <w:rPr>
          <w:rFonts w:hint="eastAsia"/>
        </w:rPr>
        <w:t>。</w:t>
      </w:r>
    </w:p>
    <w:p>
      <w:pPr>
        <w:pStyle w:val="20"/>
        <w:bidi w:val="0"/>
        <w:rPr>
          <w:rFonts w:hint="eastAsia"/>
          <w:lang w:eastAsia="zh-CN"/>
        </w:rPr>
      </w:pPr>
      <w:r>
        <w:rPr>
          <w:rFonts w:hint="eastAsia"/>
          <w:lang w:eastAsia="zh-CN"/>
        </w:rPr>
        <w:t>（三）图书资料</w:t>
      </w:r>
    </w:p>
    <w:p>
      <w:pPr>
        <w:bidi w:val="0"/>
      </w:pPr>
      <w:r>
        <w:rPr>
          <w:rFonts w:hint="eastAsia"/>
        </w:rPr>
        <w:t>福建农林大学图书馆馆藏纸质图书</w:t>
      </w:r>
      <w:r>
        <w:t>285</w:t>
      </w:r>
      <w:r>
        <w:rPr>
          <w:rFonts w:hint="eastAsia"/>
        </w:rPr>
        <w:t>万余册，建立了较为完备的中外文数字资源保障体系。拥有电子图书（含电子期刊）</w:t>
      </w:r>
      <w:r>
        <w:t>312.9</w:t>
      </w:r>
      <w:r>
        <w:rPr>
          <w:rFonts w:hint="eastAsia"/>
        </w:rPr>
        <w:t>万册；中外文数据库</w:t>
      </w:r>
      <w:r>
        <w:t>107</w:t>
      </w:r>
      <w:r>
        <w:rPr>
          <w:rFonts w:hint="eastAsia"/>
        </w:rPr>
        <w:t>个（外文数据库</w:t>
      </w:r>
      <w:r>
        <w:t>45</w:t>
      </w:r>
      <w:r>
        <w:rPr>
          <w:rFonts w:hint="eastAsia"/>
        </w:rPr>
        <w:t>个），包括</w:t>
      </w:r>
      <w:r>
        <w:t>ESI</w:t>
      </w:r>
      <w:r>
        <w:rPr>
          <w:rFonts w:hint="eastAsia"/>
        </w:rPr>
        <w:t>、</w:t>
      </w:r>
      <w:r>
        <w:t>Wiley-blackwell</w:t>
      </w:r>
      <w:r>
        <w:rPr>
          <w:rFonts w:hint="eastAsia"/>
        </w:rPr>
        <w:t>、</w:t>
      </w:r>
      <w:r>
        <w:t>JSTOR</w:t>
      </w:r>
      <w:r>
        <w:rPr>
          <w:rFonts w:hint="eastAsia"/>
        </w:rPr>
        <w:t>、</w:t>
      </w:r>
      <w:r>
        <w:t>Science Direct</w:t>
      </w:r>
      <w:r>
        <w:rPr>
          <w:rFonts w:hint="eastAsia"/>
        </w:rPr>
        <w:t>、</w:t>
      </w:r>
      <w:r>
        <w:t>SpringerLink</w:t>
      </w:r>
      <w:r>
        <w:rPr>
          <w:rFonts w:hint="eastAsia"/>
        </w:rPr>
        <w:t>等数据库，以及</w:t>
      </w:r>
      <w:r>
        <w:t>SCI</w:t>
      </w:r>
      <w:r>
        <w:rPr>
          <w:rFonts w:hint="eastAsia"/>
        </w:rPr>
        <w:t>、</w:t>
      </w:r>
      <w:r>
        <w:t>SSCI</w:t>
      </w:r>
      <w:r>
        <w:rPr>
          <w:rFonts w:hint="eastAsia"/>
        </w:rPr>
        <w:t>、</w:t>
      </w:r>
      <w:r>
        <w:t>CPCI</w:t>
      </w:r>
      <w:r>
        <w:rPr>
          <w:rFonts w:hint="eastAsia"/>
        </w:rPr>
        <w:t>、</w:t>
      </w:r>
      <w:r>
        <w:t>CSCD</w:t>
      </w:r>
      <w:r>
        <w:rPr>
          <w:rFonts w:hint="eastAsia"/>
        </w:rPr>
        <w:t>、</w:t>
      </w:r>
      <w:r>
        <w:t>CSSCI</w:t>
      </w:r>
      <w:r>
        <w:rPr>
          <w:rFonts w:hint="eastAsia"/>
        </w:rPr>
        <w:t>等引文索引数据库，还包括知网</w:t>
      </w:r>
      <w:r>
        <w:t>CNKI</w:t>
      </w:r>
      <w:r>
        <w:rPr>
          <w:rFonts w:hint="eastAsia"/>
        </w:rPr>
        <w:t>、万方、维普、超星、人大复印资料、龙源、</w:t>
      </w:r>
      <w:r>
        <w:t>EPS</w:t>
      </w:r>
      <w:r>
        <w:rPr>
          <w:rFonts w:hint="eastAsia"/>
        </w:rPr>
        <w:t>数据平台、中经网统计数据库、国研网、</w:t>
      </w:r>
      <w:r>
        <w:t>JCR</w:t>
      </w:r>
      <w:r>
        <w:rPr>
          <w:rFonts w:hint="eastAsia"/>
        </w:rPr>
        <w:t>期刊分区平台等。</w:t>
      </w:r>
    </w:p>
    <w:p>
      <w:pPr>
        <w:bidi w:val="0"/>
      </w:pPr>
      <w:r>
        <w:rPr>
          <w:rFonts w:hint="eastAsia"/>
        </w:rPr>
        <w:t>经济</w:t>
      </w:r>
      <w:r>
        <w:rPr>
          <w:rFonts w:hint="eastAsia"/>
          <w:lang w:eastAsia="zh-CN"/>
        </w:rPr>
        <w:t>管理</w:t>
      </w:r>
      <w:r>
        <w:rPr>
          <w:rFonts w:hint="eastAsia"/>
        </w:rPr>
        <w:t>学院阅览室订阅</w:t>
      </w:r>
      <w:r>
        <w:t>79</w:t>
      </w:r>
      <w:r>
        <w:rPr>
          <w:rFonts w:hint="eastAsia"/>
        </w:rPr>
        <w:t>种专业期刊，库藏图书共计</w:t>
      </w:r>
      <w:r>
        <w:t>1.8</w:t>
      </w:r>
      <w:r>
        <w:rPr>
          <w:rFonts w:hint="eastAsia"/>
        </w:rPr>
        <w:t>万余册；拥有《中国社会科学》、《经济研究》、《经济学（季刊）》、《世界经济》、《金融研究》、《国际金融研究》、《</w:t>
      </w:r>
      <w:r>
        <w:t>Journal of Finance</w:t>
      </w:r>
      <w:r>
        <w:rPr>
          <w:rFonts w:hint="eastAsia"/>
        </w:rPr>
        <w:t>》、《</w:t>
      </w:r>
      <w:r>
        <w:t>Journal of Finance and Economics</w:t>
      </w:r>
      <w:r>
        <w:rPr>
          <w:rFonts w:hint="eastAsia"/>
        </w:rPr>
        <w:t>》等国内外权威期刊，金融学专业相关的财经类书籍、期刊、研究手册等</w:t>
      </w:r>
      <w:r>
        <w:t>7000</w:t>
      </w:r>
      <w:r>
        <w:rPr>
          <w:rFonts w:hint="eastAsia"/>
        </w:rPr>
        <w:t>余册。学院电子阅览室还提供如维普数据库、学位论文数据库等多种电子文献的检索入口。</w:t>
      </w:r>
    </w:p>
    <w:p>
      <w:pPr>
        <w:pStyle w:val="19"/>
        <w:bidi w:val="0"/>
        <w:rPr>
          <w:rFonts w:hint="eastAsia"/>
          <w:lang w:eastAsia="zh-CN"/>
        </w:rPr>
      </w:pPr>
      <w:r>
        <w:rPr>
          <w:rFonts w:hint="eastAsia"/>
        </w:rPr>
        <w:t>五、招生</w:t>
      </w:r>
      <w:r>
        <w:rPr>
          <w:rFonts w:hint="eastAsia"/>
          <w:lang w:eastAsia="zh-CN"/>
        </w:rPr>
        <w:t>情况和培养效果</w:t>
      </w:r>
    </w:p>
    <w:p>
      <w:pPr>
        <w:bidi w:val="0"/>
        <w:rPr>
          <w:rFonts w:hint="eastAsia"/>
          <w:lang w:val="en-US" w:eastAsia="zh-CN"/>
        </w:rPr>
      </w:pPr>
      <w:r>
        <w:rPr>
          <w:rFonts w:hint="eastAsia"/>
        </w:rPr>
        <w:t>本学位点</w:t>
      </w:r>
      <w:r>
        <w:rPr>
          <w:rFonts w:hint="eastAsia"/>
          <w:lang w:val="en-US" w:eastAsia="zh-CN"/>
        </w:rPr>
        <w:t>2021</w:t>
      </w:r>
      <w:r>
        <w:rPr>
          <w:rFonts w:hint="eastAsia"/>
        </w:rPr>
        <w:t>年总共招生</w:t>
      </w:r>
      <w:r>
        <w:rPr>
          <w:rFonts w:hint="eastAsia"/>
          <w:lang w:val="en-US" w:eastAsia="zh-CN"/>
        </w:rPr>
        <w:t>33</w:t>
      </w:r>
      <w:r>
        <w:rPr>
          <w:rFonts w:hint="eastAsia"/>
        </w:rPr>
        <w:t>人，</w:t>
      </w:r>
      <w:r>
        <w:rPr>
          <w:rFonts w:hint="eastAsia"/>
          <w:lang w:eastAsia="zh-CN"/>
        </w:rPr>
        <w:t>其中</w:t>
      </w:r>
      <w:r>
        <w:rPr>
          <w:rFonts w:hint="eastAsia"/>
        </w:rPr>
        <w:t>普通招考人数</w:t>
      </w:r>
      <w:r>
        <w:rPr>
          <w:rFonts w:hint="eastAsia"/>
          <w:lang w:val="en-US" w:eastAsia="zh-CN"/>
        </w:rPr>
        <w:t>31人，</w:t>
      </w:r>
      <w:r>
        <w:rPr>
          <w:rFonts w:hint="eastAsia"/>
        </w:rPr>
        <w:t>本科推免生人数</w:t>
      </w:r>
      <w:r>
        <w:rPr>
          <w:rFonts w:hint="eastAsia"/>
          <w:lang w:val="en-US" w:eastAsia="zh-CN"/>
        </w:rPr>
        <w:t>2人。</w:t>
      </w:r>
      <w:r>
        <w:rPr>
          <w:rFonts w:hint="eastAsia"/>
        </w:rPr>
        <w:t>生源中不乏国内</w:t>
      </w:r>
      <w:r>
        <w:rPr>
          <w:rFonts w:hint="eastAsia"/>
          <w:lang w:eastAsia="zh-CN"/>
        </w:rPr>
        <w:t>一流高校</w:t>
      </w:r>
      <w:r>
        <w:rPr>
          <w:rFonts w:hint="eastAsia"/>
        </w:rPr>
        <w:t>和省属重点高校的本科毕业生，说明本学位点的社会认可度和品牌力不断提升。</w:t>
      </w:r>
    </w:p>
    <w:p>
      <w:pPr>
        <w:bidi w:val="0"/>
        <w:rPr>
          <w:rFonts w:hint="default"/>
          <w:lang w:val="en-US" w:eastAsia="zh-CN"/>
        </w:rPr>
      </w:pPr>
      <w:r>
        <w:rPr>
          <w:rFonts w:hint="eastAsia"/>
          <w:lang w:val="en-US" w:eastAsia="zh-CN"/>
        </w:rPr>
        <w:t>研究生在读期间，有1位学生在第七届中国</w:t>
      </w:r>
      <w:r>
        <w:rPr>
          <w:rFonts w:hint="default"/>
          <w:lang w:val="en-US" w:eastAsia="zh-CN"/>
        </w:rPr>
        <w:t>国际</w:t>
      </w:r>
      <w:r>
        <w:rPr>
          <w:rFonts w:hint="eastAsia"/>
          <w:lang w:val="en-US" w:eastAsia="zh-CN"/>
        </w:rPr>
        <w:t>“</w:t>
      </w:r>
      <w:r>
        <w:rPr>
          <w:rFonts w:hint="default"/>
          <w:lang w:val="en-US" w:eastAsia="zh-CN"/>
        </w:rPr>
        <w:t>互联网+”大学生创新创业大赛总决赛</w:t>
      </w:r>
      <w:r>
        <w:rPr>
          <w:rFonts w:hint="eastAsia"/>
          <w:lang w:val="en-US" w:eastAsia="zh-CN"/>
        </w:rPr>
        <w:t>获得全国银奖，1位学生在全国大学生</w:t>
      </w:r>
      <w:r>
        <w:rPr>
          <w:rFonts w:hint="default"/>
          <w:lang w:val="en-US" w:eastAsia="zh-CN"/>
        </w:rPr>
        <w:t>英语竞赛</w:t>
      </w:r>
      <w:r>
        <w:rPr>
          <w:rFonts w:hint="eastAsia"/>
          <w:lang w:val="en-US" w:eastAsia="zh-CN"/>
        </w:rPr>
        <w:t>获得三等奖，1位学生在第四届“郑商所杯”全国大学生金融模拟交易大赛获得优胜奖，1 名学生获第 15 届中国农村金融发展论坛优秀论文二等奖。6位学生参加全国优秀金融硕士教学案例大赛并获奖，有23人次通过CPA等资格证书考试。</w:t>
      </w:r>
    </w:p>
    <w:p>
      <w:pPr>
        <w:bidi w:val="0"/>
        <w:rPr>
          <w:rFonts w:hint="eastAsia"/>
          <w:lang w:val="en-US" w:eastAsia="zh-CN"/>
        </w:rPr>
      </w:pPr>
      <w:r>
        <w:rPr>
          <w:rFonts w:hint="eastAsia"/>
          <w:lang w:val="en-US" w:eastAsia="zh-CN"/>
        </w:rPr>
        <w:t>2021年向14位学生授予学位，毕业生就业单位主要以国有金融机构为主，其中10位毕业生在国有企业就职，1位在高等院校就职，2位在事业单位就职，就业对口率和就业层次均较高，就业率达100%。</w:t>
      </w:r>
    </w:p>
    <w:p>
      <w:pPr>
        <w:pStyle w:val="19"/>
        <w:bidi w:val="0"/>
        <w:rPr>
          <w:rFonts w:hint="eastAsia"/>
        </w:rPr>
      </w:pPr>
      <w:r>
        <w:rPr>
          <w:rFonts w:hint="eastAsia"/>
          <w:lang w:val="en-US" w:eastAsia="zh-CN"/>
        </w:rPr>
        <w:t xml:space="preserve"> 六</w:t>
      </w:r>
      <w:r>
        <w:rPr>
          <w:rFonts w:hint="eastAsia"/>
        </w:rPr>
        <w:t>、当前存在的差距</w:t>
      </w:r>
    </w:p>
    <w:p>
      <w:pPr>
        <w:bidi w:val="0"/>
      </w:pPr>
      <w:r>
        <w:rPr>
          <w:rFonts w:hint="eastAsia"/>
        </w:rPr>
        <w:t>我校金融专业硕士点于</w:t>
      </w:r>
      <w:r>
        <w:t>2014</w:t>
      </w:r>
      <w:r>
        <w:rPr>
          <w:rFonts w:hint="eastAsia"/>
        </w:rPr>
        <w:t>年获得教育部批准，经过</w:t>
      </w:r>
      <w:r>
        <w:rPr>
          <w:rFonts w:hint="eastAsia"/>
          <w:lang w:eastAsia="zh-CN"/>
        </w:rPr>
        <w:t>多</w:t>
      </w:r>
      <w:r>
        <w:rPr>
          <w:rFonts w:hint="eastAsia"/>
        </w:rPr>
        <w:t>年的努力，该学位点建设取得一定的成绩，但与高水平院校相比，我校该学位点建设起步晚，仍然存在不少问题与差距，主要有以下方面：</w:t>
      </w:r>
    </w:p>
    <w:p>
      <w:pPr>
        <w:pStyle w:val="20"/>
        <w:bidi w:val="0"/>
        <w:rPr>
          <w:rFonts w:hint="eastAsia"/>
          <w:lang w:eastAsia="zh-CN"/>
        </w:rPr>
      </w:pPr>
      <w:r>
        <w:rPr>
          <w:rFonts w:hint="eastAsia"/>
          <w:lang w:eastAsia="zh-CN"/>
        </w:rPr>
        <w:t>（一）师资力量有待加强</w:t>
      </w:r>
    </w:p>
    <w:p>
      <w:pPr>
        <w:bidi w:val="0"/>
      </w:pPr>
      <w:r>
        <w:rPr>
          <w:rFonts w:hint="eastAsia"/>
        </w:rPr>
        <w:t>本学位点在师资队伍建设上取得一定的成绩，目前拥有校内专任教师共</w:t>
      </w:r>
      <w:r>
        <w:t>2</w:t>
      </w:r>
      <w:r>
        <w:rPr>
          <w:rFonts w:hint="eastAsia"/>
          <w:lang w:val="en-US" w:eastAsia="zh-CN"/>
        </w:rPr>
        <w:t>5</w:t>
      </w:r>
      <w:r>
        <w:rPr>
          <w:rFonts w:hint="eastAsia"/>
        </w:rPr>
        <w:t>人，聘请了具有相关金融行业经验的校外导师</w:t>
      </w:r>
      <w:r>
        <w:rPr>
          <w:rFonts w:hint="eastAsia"/>
          <w:lang w:val="en-US" w:eastAsia="zh-CN"/>
        </w:rPr>
        <w:t>12</w:t>
      </w:r>
      <w:r>
        <w:rPr>
          <w:rFonts w:hint="eastAsia"/>
        </w:rPr>
        <w:t>人。但专业教师参加培训、相关进修和课程研讨活动的次数不多，在金融机构有兼职背景的目前只有</w:t>
      </w:r>
      <w:r>
        <w:rPr>
          <w:rFonts w:hint="eastAsia"/>
          <w:lang w:val="en-US" w:eastAsia="zh-CN"/>
        </w:rPr>
        <w:t>8</w:t>
      </w:r>
      <w:r>
        <w:rPr>
          <w:rFonts w:hint="eastAsia"/>
        </w:rPr>
        <w:t>人，说明校内专任教师的实践经验有待加强。</w:t>
      </w:r>
    </w:p>
    <w:p>
      <w:pPr>
        <w:pStyle w:val="20"/>
        <w:bidi w:val="0"/>
        <w:rPr>
          <w:rFonts w:hint="eastAsia"/>
          <w:lang w:eastAsia="zh-CN"/>
        </w:rPr>
      </w:pPr>
      <w:r>
        <w:rPr>
          <w:rFonts w:hint="eastAsia"/>
          <w:lang w:eastAsia="zh-CN"/>
        </w:rPr>
        <w:t>（二）校外基地的利用率有待提高</w:t>
      </w:r>
    </w:p>
    <w:p>
      <w:pPr>
        <w:bidi w:val="0"/>
        <w:rPr>
          <w:rFonts w:hint="eastAsia"/>
          <w:lang w:val="en-US" w:eastAsia="zh-CN"/>
        </w:rPr>
      </w:pPr>
      <w:r>
        <w:rPr>
          <w:rFonts w:hint="eastAsia"/>
          <w:lang w:val="en-US" w:eastAsia="zh-CN"/>
        </w:rPr>
        <w:t>在2021年共安排26位专业硕士到10个实习基地开展实习，每个基地每年接收的学生数仅为2人左右，实习基地的利用率不高。同时虽然拥有10个</w:t>
      </w:r>
      <w:r>
        <w:rPr>
          <w:rFonts w:hint="eastAsia"/>
          <w:lang w:eastAsia="zh-CN"/>
        </w:rPr>
        <w:t>“普惠金融实践创新基地”和</w:t>
      </w:r>
      <w:r>
        <w:rPr>
          <w:rFonts w:hint="eastAsia"/>
          <w:lang w:val="en-US" w:eastAsia="zh-CN"/>
        </w:rPr>
        <w:t>44个</w:t>
      </w:r>
      <w:r>
        <w:rPr>
          <w:rFonts w:hint="eastAsia"/>
          <w:lang w:eastAsia="zh-CN"/>
        </w:rPr>
        <w:t>“普惠金融固定观察点”，但由于前期注重数量的扩张，对利用的价值重视不足，与基地和观察点的互动性不足。</w:t>
      </w:r>
    </w:p>
    <w:p>
      <w:pPr>
        <w:pStyle w:val="20"/>
        <w:bidi w:val="0"/>
        <w:rPr>
          <w:rFonts w:hint="eastAsia"/>
          <w:lang w:eastAsia="zh-CN"/>
        </w:rPr>
      </w:pPr>
      <w:r>
        <w:rPr>
          <w:rFonts w:hint="eastAsia"/>
          <w:lang w:eastAsia="zh-CN"/>
        </w:rPr>
        <w:t>（三）毕业生论文的专业特征有待凸显</w:t>
      </w:r>
    </w:p>
    <w:p>
      <w:pPr>
        <w:bidi w:val="0"/>
        <w:rPr>
          <w:rFonts w:hint="eastAsia"/>
          <w:lang w:eastAsia="zh-CN"/>
        </w:rPr>
      </w:pPr>
      <w:r>
        <w:rPr>
          <w:rFonts w:hint="eastAsia"/>
        </w:rPr>
        <w:t>金融专业硕士的毕业论文</w:t>
      </w:r>
      <w:r>
        <w:rPr>
          <w:rFonts w:hint="eastAsia"/>
          <w:lang w:eastAsia="zh-CN"/>
        </w:rPr>
        <w:t>难以体现出专业硕士的特点</w:t>
      </w:r>
      <w:r>
        <w:rPr>
          <w:rFonts w:hint="eastAsia"/>
        </w:rPr>
        <w:t>，产品设计、调研报告或基于实际问题分析的政策建议报告等实践型论文较少</w:t>
      </w:r>
      <w:r>
        <w:rPr>
          <w:rFonts w:hint="eastAsia"/>
          <w:lang w:eastAsia="zh-CN"/>
        </w:rPr>
        <w:t>，大部分毕业论文从选题到写作方法与学术学位的论文区别不大</w:t>
      </w:r>
      <w:r>
        <w:rPr>
          <w:rFonts w:hint="eastAsia"/>
        </w:rPr>
        <w:t>。</w:t>
      </w:r>
      <w:r>
        <w:rPr>
          <w:rFonts w:hint="eastAsia"/>
          <w:lang w:val="en-US" w:eastAsia="zh-CN"/>
        </w:rPr>
        <w:t xml:space="preserve"> </w:t>
      </w:r>
    </w:p>
    <w:p>
      <w:pPr>
        <w:pStyle w:val="19"/>
        <w:bidi w:val="0"/>
        <w:rPr>
          <w:rFonts w:hint="eastAsia"/>
          <w:lang w:val="en-US" w:eastAsia="zh-CN"/>
        </w:rPr>
      </w:pPr>
      <w:r>
        <w:rPr>
          <w:rFonts w:hint="eastAsia"/>
          <w:lang w:val="en-US" w:eastAsia="zh-CN"/>
        </w:rPr>
        <w:t>七、改进计划</w:t>
      </w:r>
    </w:p>
    <w:p>
      <w:pPr>
        <w:pStyle w:val="20"/>
        <w:bidi w:val="0"/>
        <w:rPr>
          <w:rFonts w:hint="eastAsia"/>
          <w:lang w:eastAsia="zh-CN"/>
        </w:rPr>
      </w:pPr>
      <w:r>
        <w:rPr>
          <w:rFonts w:hint="eastAsia"/>
          <w:lang w:eastAsia="zh-CN"/>
        </w:rPr>
        <w:t>（一）提高教师的实践能力</w:t>
      </w:r>
    </w:p>
    <w:p>
      <w:pPr>
        <w:bidi w:val="0"/>
        <w:rPr>
          <w:rFonts w:hint="eastAsia"/>
        </w:rPr>
      </w:pPr>
      <w:r>
        <w:rPr>
          <w:rFonts w:hint="eastAsia"/>
        </w:rPr>
        <w:t>一是持续聘任校外指导教师，优化校外指导教师队伍结构，加强研究生专业实践能力的培养。</w:t>
      </w:r>
      <w:r>
        <w:rPr>
          <w:rFonts w:hint="eastAsia"/>
          <w:lang w:eastAsia="zh-CN"/>
        </w:rPr>
        <w:t>二</w:t>
      </w:r>
      <w:r>
        <w:rPr>
          <w:rFonts w:hint="eastAsia"/>
        </w:rPr>
        <w:t>是</w:t>
      </w:r>
      <w:r>
        <w:rPr>
          <w:rFonts w:hint="eastAsia"/>
          <w:lang w:eastAsia="zh-CN"/>
        </w:rPr>
        <w:t>每年</w:t>
      </w:r>
      <w:r>
        <w:rPr>
          <w:rFonts w:hint="eastAsia"/>
        </w:rPr>
        <w:t>选派1-2名专任教师到金融机构挂职锻炼，提高专任教师的实践能力。</w:t>
      </w:r>
      <w:r>
        <w:rPr>
          <w:rFonts w:hint="eastAsia"/>
          <w:lang w:eastAsia="zh-CN"/>
        </w:rPr>
        <w:t>三</w:t>
      </w:r>
      <w:r>
        <w:rPr>
          <w:rFonts w:hint="eastAsia"/>
        </w:rPr>
        <w:t>是加大校内专任教师参加培训、进修、研讨等的投入，鼓励教师积极参与各类培训和研讨等活动。</w:t>
      </w:r>
      <w:r>
        <w:rPr>
          <w:rFonts w:hint="eastAsia"/>
          <w:lang w:eastAsia="zh-CN"/>
        </w:rPr>
        <w:t>四</w:t>
      </w:r>
      <w:r>
        <w:rPr>
          <w:rFonts w:hint="eastAsia"/>
        </w:rPr>
        <w:t>是推进校内专任教师和校外指导教师的学习交流机制，有效提升教师队伍的理论和实践水平。</w:t>
      </w:r>
    </w:p>
    <w:p>
      <w:pPr>
        <w:pStyle w:val="20"/>
        <w:bidi w:val="0"/>
        <w:rPr>
          <w:rFonts w:hint="eastAsia"/>
          <w:lang w:eastAsia="zh-CN"/>
        </w:rPr>
      </w:pPr>
      <w:r>
        <w:rPr>
          <w:rFonts w:hint="eastAsia"/>
          <w:lang w:eastAsia="zh-CN"/>
        </w:rPr>
        <w:t>（二）加强校内实践训练</w:t>
      </w:r>
    </w:p>
    <w:p>
      <w:pPr>
        <w:bidi w:val="0"/>
        <w:rPr>
          <w:rFonts w:hint="eastAsia"/>
        </w:rPr>
      </w:pPr>
      <w:r>
        <w:rPr>
          <w:rFonts w:hint="eastAsia"/>
        </w:rPr>
        <w:t>一是在已有实验室基础上，整合建成涵盖银行、保险、证券业务在内的校内金融实验平台，探索建立“边培养边使用”的实训模式，提高学生应用操作能力。</w:t>
      </w:r>
      <w:r>
        <w:rPr>
          <w:rFonts w:hint="eastAsia"/>
          <w:lang w:eastAsia="zh-CN"/>
        </w:rPr>
        <w:t>二</w:t>
      </w:r>
      <w:r>
        <w:rPr>
          <w:rFonts w:hint="eastAsia"/>
        </w:rPr>
        <w:t>是鼓励学生积极参加创新创业项目，提高学生创新创业能力。</w:t>
      </w:r>
    </w:p>
    <w:p>
      <w:pPr>
        <w:pStyle w:val="20"/>
        <w:bidi w:val="0"/>
        <w:rPr>
          <w:rFonts w:hint="eastAsia"/>
          <w:lang w:eastAsia="zh-CN"/>
        </w:rPr>
      </w:pPr>
      <w:r>
        <w:rPr>
          <w:rFonts w:hint="eastAsia"/>
          <w:lang w:eastAsia="zh-CN"/>
        </w:rPr>
        <w:t>（三）提高实践基地利用价值</w:t>
      </w:r>
    </w:p>
    <w:p>
      <w:pPr>
        <w:bidi w:val="0"/>
        <w:rPr>
          <w:rFonts w:hint="eastAsia"/>
          <w:lang w:eastAsia="zh-CN"/>
        </w:rPr>
      </w:pPr>
      <w:r>
        <w:rPr>
          <w:rFonts w:hint="eastAsia"/>
          <w:lang w:eastAsia="zh-CN"/>
        </w:rPr>
        <w:t>一</w:t>
      </w:r>
      <w:r>
        <w:rPr>
          <w:rFonts w:hint="eastAsia"/>
        </w:rPr>
        <w:t>是</w:t>
      </w:r>
      <w:r>
        <w:rPr>
          <w:rFonts w:hint="eastAsia"/>
          <w:lang w:eastAsia="zh-CN"/>
        </w:rPr>
        <w:t>鼓励学生开展全方位的实习</w:t>
      </w:r>
      <w:r>
        <w:rPr>
          <w:rFonts w:hint="eastAsia"/>
        </w:rPr>
        <w:t>，</w:t>
      </w:r>
      <w:r>
        <w:rPr>
          <w:rFonts w:hint="eastAsia"/>
          <w:lang w:eastAsia="zh-CN"/>
        </w:rPr>
        <w:t>除了三个月的实习期，还要鼓励学生充分利用每个寒暑假到金融各个行业实习，对</w:t>
      </w:r>
      <w:r>
        <w:rPr>
          <w:rFonts w:hint="eastAsia"/>
        </w:rPr>
        <w:t>银行、保险、证券等</w:t>
      </w:r>
      <w:r>
        <w:rPr>
          <w:rFonts w:hint="eastAsia"/>
          <w:lang w:eastAsia="zh-CN"/>
        </w:rPr>
        <w:t>金融各行业有系统深入了解</w:t>
      </w:r>
      <w:r>
        <w:rPr>
          <w:rFonts w:hint="eastAsia"/>
        </w:rPr>
        <w:t>。</w:t>
      </w:r>
      <w:r>
        <w:rPr>
          <w:rFonts w:hint="eastAsia"/>
          <w:lang w:eastAsia="zh-CN"/>
        </w:rPr>
        <w:t>二是加强与实习基地和观察点的互动往来，发挥高校的科研优势和基地、观察点的数据、实务优势，以提供决策咨询等方式加深合作，提高教师与学生对现实认识，提高金融研究成果服务经济发展的现实作用。</w:t>
      </w:r>
    </w:p>
    <w:p>
      <w:pPr>
        <w:pStyle w:val="20"/>
        <w:bidi w:val="0"/>
        <w:rPr>
          <w:rFonts w:hint="eastAsia"/>
          <w:lang w:eastAsia="zh-CN"/>
        </w:rPr>
      </w:pPr>
      <w:r>
        <w:rPr>
          <w:rFonts w:hint="eastAsia"/>
          <w:lang w:eastAsia="zh-CN"/>
        </w:rPr>
        <w:t>（四）丰富毕业论文选题类型</w:t>
      </w:r>
    </w:p>
    <w:p>
      <w:pPr>
        <w:bidi w:val="0"/>
      </w:pPr>
      <w:r>
        <w:rPr>
          <w:rFonts w:hint="eastAsia"/>
          <w:lang w:eastAsia="zh-CN"/>
        </w:rPr>
        <w:t>通过教师实践能力提升，加强日常的校内实训，</w:t>
      </w:r>
      <w:r>
        <w:rPr>
          <w:rFonts w:hint="eastAsia"/>
        </w:rPr>
        <w:t>依托实践基地、专业观察点，充分利用校外导师丰富的实践经验和提供的金融案例素材，引导学生撰写产品设计、案例分析、调研报告等实践型论文，丰富本学位点实践型论文类型，有效提高论文质量。</w:t>
      </w:r>
    </w:p>
    <w:p>
      <w:pPr>
        <w:keepNext w:val="0"/>
        <w:keepLines w:val="0"/>
        <w:pageBreakBefore w:val="0"/>
        <w:kinsoku/>
        <w:wordWrap/>
        <w:overflowPunct/>
        <w:topLinePunct w:val="0"/>
        <w:autoSpaceDE/>
        <w:autoSpaceDN/>
        <w:bidi w:val="0"/>
        <w:spacing w:line="600" w:lineRule="atLeast"/>
        <w:rPr>
          <w:rFonts w:ascii="宋体"/>
          <w:color w:val="000000"/>
          <w:kern w:val="0"/>
          <w:sz w:val="24"/>
          <w:szCs w:val="24"/>
        </w:rPr>
      </w:pPr>
    </w:p>
    <w:p>
      <w:pPr>
        <w:keepNext w:val="0"/>
        <w:keepLines w:val="0"/>
        <w:pageBreakBefore w:val="0"/>
        <w:kinsoku/>
        <w:wordWrap/>
        <w:overflowPunct/>
        <w:topLinePunct w:val="0"/>
        <w:autoSpaceDE/>
        <w:autoSpaceDN/>
        <w:bidi w:val="0"/>
        <w:adjustRightInd w:val="0"/>
        <w:spacing w:line="600" w:lineRule="atLeast"/>
        <w:ind w:firstLine="480" w:firstLineChars="200"/>
        <w:textAlignment w:val="baseline"/>
        <w:rPr>
          <w:rFonts w:ascii="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GVlMjc2ZmNmYjRkMjY1ZjkwZjBkOWUzMWViNzUifQ=="/>
  </w:docVars>
  <w:rsids>
    <w:rsidRoot w:val="00E33B4F"/>
    <w:rsid w:val="0001742D"/>
    <w:rsid w:val="00020417"/>
    <w:rsid w:val="00026F2C"/>
    <w:rsid w:val="00032F7E"/>
    <w:rsid w:val="00052934"/>
    <w:rsid w:val="00065651"/>
    <w:rsid w:val="0007152E"/>
    <w:rsid w:val="000821C8"/>
    <w:rsid w:val="00094198"/>
    <w:rsid w:val="000A2690"/>
    <w:rsid w:val="000B03BE"/>
    <w:rsid w:val="000B07D6"/>
    <w:rsid w:val="000B44D6"/>
    <w:rsid w:val="000B53C6"/>
    <w:rsid w:val="000C5D9D"/>
    <w:rsid w:val="000D2026"/>
    <w:rsid w:val="000D4490"/>
    <w:rsid w:val="000E0A96"/>
    <w:rsid w:val="000E2E86"/>
    <w:rsid w:val="000E7040"/>
    <w:rsid w:val="00100023"/>
    <w:rsid w:val="00111A20"/>
    <w:rsid w:val="00112141"/>
    <w:rsid w:val="00114507"/>
    <w:rsid w:val="00115E07"/>
    <w:rsid w:val="001214B8"/>
    <w:rsid w:val="00132F1E"/>
    <w:rsid w:val="00133074"/>
    <w:rsid w:val="001466FE"/>
    <w:rsid w:val="00147800"/>
    <w:rsid w:val="001651C5"/>
    <w:rsid w:val="00171DA9"/>
    <w:rsid w:val="0017746F"/>
    <w:rsid w:val="00180E9A"/>
    <w:rsid w:val="001830D1"/>
    <w:rsid w:val="00184D79"/>
    <w:rsid w:val="001A7174"/>
    <w:rsid w:val="001B067E"/>
    <w:rsid w:val="001B108A"/>
    <w:rsid w:val="001B593B"/>
    <w:rsid w:val="001C57DC"/>
    <w:rsid w:val="001C629F"/>
    <w:rsid w:val="001D36C8"/>
    <w:rsid w:val="001E17FD"/>
    <w:rsid w:val="001F7BD3"/>
    <w:rsid w:val="002247DD"/>
    <w:rsid w:val="00260054"/>
    <w:rsid w:val="002715D6"/>
    <w:rsid w:val="00273588"/>
    <w:rsid w:val="002948F0"/>
    <w:rsid w:val="002A2774"/>
    <w:rsid w:val="002B3030"/>
    <w:rsid w:val="002B6BF2"/>
    <w:rsid w:val="002C44E8"/>
    <w:rsid w:val="002D183D"/>
    <w:rsid w:val="002D76C7"/>
    <w:rsid w:val="002E215E"/>
    <w:rsid w:val="002E36FC"/>
    <w:rsid w:val="002E4FBB"/>
    <w:rsid w:val="002E62D6"/>
    <w:rsid w:val="002E6927"/>
    <w:rsid w:val="002F3CDE"/>
    <w:rsid w:val="002F4DB0"/>
    <w:rsid w:val="003123F0"/>
    <w:rsid w:val="00315CBC"/>
    <w:rsid w:val="00317504"/>
    <w:rsid w:val="00342417"/>
    <w:rsid w:val="003513D4"/>
    <w:rsid w:val="003600B2"/>
    <w:rsid w:val="00363753"/>
    <w:rsid w:val="00364B77"/>
    <w:rsid w:val="00374DF3"/>
    <w:rsid w:val="00375A39"/>
    <w:rsid w:val="00393D4A"/>
    <w:rsid w:val="003942CE"/>
    <w:rsid w:val="00394B17"/>
    <w:rsid w:val="003A1139"/>
    <w:rsid w:val="003A7EFF"/>
    <w:rsid w:val="003B1DA3"/>
    <w:rsid w:val="003C0014"/>
    <w:rsid w:val="003C047C"/>
    <w:rsid w:val="003D452E"/>
    <w:rsid w:val="0040017E"/>
    <w:rsid w:val="004170FF"/>
    <w:rsid w:val="00422F86"/>
    <w:rsid w:val="00431C5A"/>
    <w:rsid w:val="00433919"/>
    <w:rsid w:val="00441FD0"/>
    <w:rsid w:val="00446FFC"/>
    <w:rsid w:val="00454C3F"/>
    <w:rsid w:val="00463C37"/>
    <w:rsid w:val="004709DD"/>
    <w:rsid w:val="00494C44"/>
    <w:rsid w:val="004A5450"/>
    <w:rsid w:val="004A7124"/>
    <w:rsid w:val="004C31A2"/>
    <w:rsid w:val="004E450C"/>
    <w:rsid w:val="004E59E9"/>
    <w:rsid w:val="004E6526"/>
    <w:rsid w:val="004F6C09"/>
    <w:rsid w:val="00514550"/>
    <w:rsid w:val="005223B0"/>
    <w:rsid w:val="00546A79"/>
    <w:rsid w:val="00560BD1"/>
    <w:rsid w:val="005649E3"/>
    <w:rsid w:val="00594044"/>
    <w:rsid w:val="005950FC"/>
    <w:rsid w:val="005A1EC9"/>
    <w:rsid w:val="005A4216"/>
    <w:rsid w:val="005B12A8"/>
    <w:rsid w:val="005C428A"/>
    <w:rsid w:val="005D2915"/>
    <w:rsid w:val="005E4465"/>
    <w:rsid w:val="005E765D"/>
    <w:rsid w:val="005F21ED"/>
    <w:rsid w:val="006103C7"/>
    <w:rsid w:val="00615EB7"/>
    <w:rsid w:val="00616ABC"/>
    <w:rsid w:val="0062783F"/>
    <w:rsid w:val="00651FAE"/>
    <w:rsid w:val="00654094"/>
    <w:rsid w:val="00666D8C"/>
    <w:rsid w:val="00680F49"/>
    <w:rsid w:val="006849DD"/>
    <w:rsid w:val="0069541A"/>
    <w:rsid w:val="006A751D"/>
    <w:rsid w:val="006C038D"/>
    <w:rsid w:val="006D68A5"/>
    <w:rsid w:val="006D7F64"/>
    <w:rsid w:val="006F7757"/>
    <w:rsid w:val="00701ABF"/>
    <w:rsid w:val="00711D30"/>
    <w:rsid w:val="00712E38"/>
    <w:rsid w:val="00717D8A"/>
    <w:rsid w:val="00731B28"/>
    <w:rsid w:val="007363B4"/>
    <w:rsid w:val="0075182B"/>
    <w:rsid w:val="00756ED4"/>
    <w:rsid w:val="007626EF"/>
    <w:rsid w:val="0076508F"/>
    <w:rsid w:val="0077076C"/>
    <w:rsid w:val="00773774"/>
    <w:rsid w:val="00773D3A"/>
    <w:rsid w:val="007819C0"/>
    <w:rsid w:val="007909E5"/>
    <w:rsid w:val="007932A2"/>
    <w:rsid w:val="007948A6"/>
    <w:rsid w:val="007A27B5"/>
    <w:rsid w:val="007A7E0E"/>
    <w:rsid w:val="007B28CF"/>
    <w:rsid w:val="007C311A"/>
    <w:rsid w:val="007D22CF"/>
    <w:rsid w:val="00802F67"/>
    <w:rsid w:val="00805790"/>
    <w:rsid w:val="008101E4"/>
    <w:rsid w:val="00831B2F"/>
    <w:rsid w:val="00835B0A"/>
    <w:rsid w:val="008466C5"/>
    <w:rsid w:val="008513FA"/>
    <w:rsid w:val="00855376"/>
    <w:rsid w:val="00866B00"/>
    <w:rsid w:val="00867AFB"/>
    <w:rsid w:val="00872E96"/>
    <w:rsid w:val="008779EE"/>
    <w:rsid w:val="0088391E"/>
    <w:rsid w:val="00891A3E"/>
    <w:rsid w:val="0089733E"/>
    <w:rsid w:val="00897692"/>
    <w:rsid w:val="008A0C0B"/>
    <w:rsid w:val="008B08B8"/>
    <w:rsid w:val="008B2153"/>
    <w:rsid w:val="008C51CE"/>
    <w:rsid w:val="008F26F8"/>
    <w:rsid w:val="0090227C"/>
    <w:rsid w:val="009037D6"/>
    <w:rsid w:val="009207B2"/>
    <w:rsid w:val="00932574"/>
    <w:rsid w:val="00940003"/>
    <w:rsid w:val="00943D03"/>
    <w:rsid w:val="00946C61"/>
    <w:rsid w:val="00955CF9"/>
    <w:rsid w:val="009651AD"/>
    <w:rsid w:val="00966DF8"/>
    <w:rsid w:val="00974E64"/>
    <w:rsid w:val="00974F95"/>
    <w:rsid w:val="0098321A"/>
    <w:rsid w:val="009A40CC"/>
    <w:rsid w:val="009E3EC3"/>
    <w:rsid w:val="009E7D67"/>
    <w:rsid w:val="009F54C1"/>
    <w:rsid w:val="009F564E"/>
    <w:rsid w:val="00A02DDA"/>
    <w:rsid w:val="00A10F9C"/>
    <w:rsid w:val="00A10FB3"/>
    <w:rsid w:val="00A1222A"/>
    <w:rsid w:val="00A13969"/>
    <w:rsid w:val="00A14AA2"/>
    <w:rsid w:val="00A32181"/>
    <w:rsid w:val="00A35F0C"/>
    <w:rsid w:val="00A41773"/>
    <w:rsid w:val="00A54FE2"/>
    <w:rsid w:val="00A569F3"/>
    <w:rsid w:val="00A626F3"/>
    <w:rsid w:val="00A774C8"/>
    <w:rsid w:val="00A81BE4"/>
    <w:rsid w:val="00A851D7"/>
    <w:rsid w:val="00AB7864"/>
    <w:rsid w:val="00AC5357"/>
    <w:rsid w:val="00AC6942"/>
    <w:rsid w:val="00AD0119"/>
    <w:rsid w:val="00AE6E18"/>
    <w:rsid w:val="00B00F57"/>
    <w:rsid w:val="00B229B7"/>
    <w:rsid w:val="00B57563"/>
    <w:rsid w:val="00B60CCA"/>
    <w:rsid w:val="00B65245"/>
    <w:rsid w:val="00B752F0"/>
    <w:rsid w:val="00B86597"/>
    <w:rsid w:val="00B922C0"/>
    <w:rsid w:val="00BA3BDE"/>
    <w:rsid w:val="00BA469D"/>
    <w:rsid w:val="00BB210E"/>
    <w:rsid w:val="00BC5733"/>
    <w:rsid w:val="00BF36D1"/>
    <w:rsid w:val="00BF473A"/>
    <w:rsid w:val="00BF5195"/>
    <w:rsid w:val="00C033CB"/>
    <w:rsid w:val="00C12C3C"/>
    <w:rsid w:val="00C54F94"/>
    <w:rsid w:val="00C60237"/>
    <w:rsid w:val="00C64927"/>
    <w:rsid w:val="00C6573A"/>
    <w:rsid w:val="00C77DAC"/>
    <w:rsid w:val="00C97E5D"/>
    <w:rsid w:val="00CA2D30"/>
    <w:rsid w:val="00CA7C9F"/>
    <w:rsid w:val="00CB28E4"/>
    <w:rsid w:val="00CB2E97"/>
    <w:rsid w:val="00CD34E5"/>
    <w:rsid w:val="00CD404D"/>
    <w:rsid w:val="00CD7EAF"/>
    <w:rsid w:val="00CE0FF0"/>
    <w:rsid w:val="00CE470D"/>
    <w:rsid w:val="00CE504D"/>
    <w:rsid w:val="00CE66DA"/>
    <w:rsid w:val="00CF157F"/>
    <w:rsid w:val="00CF7FB7"/>
    <w:rsid w:val="00D131E4"/>
    <w:rsid w:val="00D31C00"/>
    <w:rsid w:val="00D33070"/>
    <w:rsid w:val="00D62C6B"/>
    <w:rsid w:val="00D96D97"/>
    <w:rsid w:val="00DA3861"/>
    <w:rsid w:val="00DA47A4"/>
    <w:rsid w:val="00DD0BFB"/>
    <w:rsid w:val="00E1275E"/>
    <w:rsid w:val="00E24783"/>
    <w:rsid w:val="00E33B4F"/>
    <w:rsid w:val="00E44D66"/>
    <w:rsid w:val="00E44DE3"/>
    <w:rsid w:val="00E53334"/>
    <w:rsid w:val="00E74A86"/>
    <w:rsid w:val="00E7768C"/>
    <w:rsid w:val="00E87E39"/>
    <w:rsid w:val="00E922E3"/>
    <w:rsid w:val="00E96999"/>
    <w:rsid w:val="00EA14D9"/>
    <w:rsid w:val="00EB781C"/>
    <w:rsid w:val="00EC374A"/>
    <w:rsid w:val="00EE2663"/>
    <w:rsid w:val="00F06D9E"/>
    <w:rsid w:val="00F06F42"/>
    <w:rsid w:val="00F21A7C"/>
    <w:rsid w:val="00F23602"/>
    <w:rsid w:val="00F277BA"/>
    <w:rsid w:val="00F5274F"/>
    <w:rsid w:val="00F61F25"/>
    <w:rsid w:val="00F621F9"/>
    <w:rsid w:val="00F86395"/>
    <w:rsid w:val="00FA6020"/>
    <w:rsid w:val="00FD2DF6"/>
    <w:rsid w:val="00FD3B7C"/>
    <w:rsid w:val="00FD437F"/>
    <w:rsid w:val="00FE4EA1"/>
    <w:rsid w:val="00FF177D"/>
    <w:rsid w:val="00FF28C5"/>
    <w:rsid w:val="07DF16B0"/>
    <w:rsid w:val="0AA777D6"/>
    <w:rsid w:val="0C674647"/>
    <w:rsid w:val="0E4919B8"/>
    <w:rsid w:val="0FC70FBF"/>
    <w:rsid w:val="13257C68"/>
    <w:rsid w:val="14C667C2"/>
    <w:rsid w:val="16922E00"/>
    <w:rsid w:val="1A8E4726"/>
    <w:rsid w:val="1AEE0821"/>
    <w:rsid w:val="1C2F4C4D"/>
    <w:rsid w:val="1EA11F19"/>
    <w:rsid w:val="21A67760"/>
    <w:rsid w:val="23EE1F21"/>
    <w:rsid w:val="25CD5C03"/>
    <w:rsid w:val="285043F2"/>
    <w:rsid w:val="290F6904"/>
    <w:rsid w:val="2A24600D"/>
    <w:rsid w:val="2B643CDB"/>
    <w:rsid w:val="2BDC69B6"/>
    <w:rsid w:val="303C7B39"/>
    <w:rsid w:val="31F8786C"/>
    <w:rsid w:val="34B00BC9"/>
    <w:rsid w:val="350C3C4B"/>
    <w:rsid w:val="36E16AF8"/>
    <w:rsid w:val="37093829"/>
    <w:rsid w:val="372365F6"/>
    <w:rsid w:val="39305F4F"/>
    <w:rsid w:val="3A9E2927"/>
    <w:rsid w:val="3DD570CC"/>
    <w:rsid w:val="402A3BE5"/>
    <w:rsid w:val="420C561E"/>
    <w:rsid w:val="421B33FA"/>
    <w:rsid w:val="425A1B52"/>
    <w:rsid w:val="43884FAA"/>
    <w:rsid w:val="44662272"/>
    <w:rsid w:val="447D6B8A"/>
    <w:rsid w:val="475C4160"/>
    <w:rsid w:val="47CF7161"/>
    <w:rsid w:val="49A62143"/>
    <w:rsid w:val="4BA926B2"/>
    <w:rsid w:val="51CF43C2"/>
    <w:rsid w:val="52396EEF"/>
    <w:rsid w:val="58132187"/>
    <w:rsid w:val="58C71D7C"/>
    <w:rsid w:val="5ACD7E27"/>
    <w:rsid w:val="5B465294"/>
    <w:rsid w:val="5CA9500C"/>
    <w:rsid w:val="5DA45680"/>
    <w:rsid w:val="5EA91840"/>
    <w:rsid w:val="5F2807A8"/>
    <w:rsid w:val="616B6949"/>
    <w:rsid w:val="641643DB"/>
    <w:rsid w:val="6441039D"/>
    <w:rsid w:val="66A56F85"/>
    <w:rsid w:val="66D470B2"/>
    <w:rsid w:val="677F0B24"/>
    <w:rsid w:val="69160BBF"/>
    <w:rsid w:val="6BF84629"/>
    <w:rsid w:val="6DD93FE6"/>
    <w:rsid w:val="6DF42BCE"/>
    <w:rsid w:val="6FDF206B"/>
    <w:rsid w:val="704B7F22"/>
    <w:rsid w:val="727A5D97"/>
    <w:rsid w:val="7613329E"/>
    <w:rsid w:val="794311F0"/>
    <w:rsid w:val="7B6A53FD"/>
    <w:rsid w:val="7C423E53"/>
    <w:rsid w:val="7C531873"/>
    <w:rsid w:val="7DA06E6D"/>
    <w:rsid w:val="7E1D5F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044" w:firstLineChars="200"/>
      <w:jc w:val="both"/>
    </w:pPr>
    <w:rPr>
      <w:rFonts w:ascii="Calibri" w:hAnsi="Calibri" w:eastAsia="仿宋" w:cs="Times New Roman"/>
      <w:kern w:val="2"/>
      <w:sz w:val="32"/>
      <w:szCs w:val="22"/>
      <w:lang w:val="en-US" w:eastAsia="zh-CN" w:bidi="ar-SA"/>
    </w:rPr>
  </w:style>
  <w:style w:type="paragraph" w:styleId="3">
    <w:name w:val="heading 2"/>
    <w:basedOn w:val="1"/>
    <w:next w:val="1"/>
    <w:qFormat/>
    <w:locked/>
    <w:uiPriority w:val="0"/>
    <w:pPr>
      <w:keepNext/>
      <w:keepLines/>
      <w:adjustRightInd w:val="0"/>
      <w:snapToGrid w:val="0"/>
      <w:spacing w:before="50" w:beforeLines="50" w:after="50" w:afterLines="50" w:line="240" w:lineRule="auto"/>
      <w:ind w:firstLine="200" w:firstLineChars="200"/>
      <w:outlineLvl w:val="1"/>
    </w:pPr>
    <w:rPr>
      <w:rFonts w:ascii="等线 Light" w:hAnsi="等线 Light" w:eastAsia="黑体" w:cs="Times New Roman"/>
      <w:bCs/>
      <w:sz w:val="32"/>
      <w:szCs w:val="32"/>
    </w:rPr>
  </w:style>
  <w:style w:type="paragraph" w:styleId="2">
    <w:name w:val="heading 3"/>
    <w:basedOn w:val="1"/>
    <w:next w:val="1"/>
    <w:qFormat/>
    <w:locked/>
    <w:uiPriority w:val="0"/>
    <w:pPr>
      <w:keepNext/>
      <w:keepLines/>
      <w:spacing w:before="50" w:beforeLines="50" w:after="50" w:afterLines="50" w:line="240" w:lineRule="auto"/>
      <w:outlineLvl w:val="2"/>
    </w:pPr>
    <w:rPr>
      <w:rFonts w:eastAsia="方正仿宋简体"/>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qFormat/>
    <w:uiPriority w:val="99"/>
    <w:pPr>
      <w:jc w:val="left"/>
    </w:pPr>
  </w:style>
  <w:style w:type="paragraph" w:styleId="5">
    <w:name w:val="Balloon Text"/>
    <w:basedOn w:val="1"/>
    <w:link w:val="17"/>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rFonts w:cs="Times New Roman"/>
      <w:sz w:val="21"/>
      <w:szCs w:val="21"/>
    </w:rPr>
  </w:style>
  <w:style w:type="character" w:customStyle="1" w:styleId="13">
    <w:name w:val="页脚 Char"/>
    <w:link w:val="6"/>
    <w:qFormat/>
    <w:locked/>
    <w:uiPriority w:val="99"/>
    <w:rPr>
      <w:rFonts w:cs="Times New Roman"/>
      <w:sz w:val="18"/>
      <w:szCs w:val="18"/>
    </w:rPr>
  </w:style>
  <w:style w:type="character" w:customStyle="1" w:styleId="14">
    <w:name w:val="页眉 Char"/>
    <w:link w:val="7"/>
    <w:qFormat/>
    <w:locked/>
    <w:uiPriority w:val="99"/>
    <w:rPr>
      <w:rFonts w:cs="Times New Roman"/>
      <w:sz w:val="18"/>
      <w:szCs w:val="18"/>
    </w:rPr>
  </w:style>
  <w:style w:type="character" w:customStyle="1" w:styleId="15">
    <w:name w:val="批注文字 Char"/>
    <w:link w:val="4"/>
    <w:semiHidden/>
    <w:qFormat/>
    <w:locked/>
    <w:uiPriority w:val="99"/>
    <w:rPr>
      <w:rFonts w:ascii="Calibri" w:hAnsi="Calibri" w:eastAsia="宋体" w:cs="Times New Roman"/>
      <w:kern w:val="2"/>
      <w:sz w:val="22"/>
      <w:szCs w:val="22"/>
    </w:rPr>
  </w:style>
  <w:style w:type="character" w:customStyle="1" w:styleId="16">
    <w:name w:val="批注主题 Char"/>
    <w:link w:val="8"/>
    <w:semiHidden/>
    <w:qFormat/>
    <w:locked/>
    <w:uiPriority w:val="99"/>
    <w:rPr>
      <w:rFonts w:ascii="Calibri" w:hAnsi="Calibri" w:eastAsia="宋体" w:cs="Times New Roman"/>
      <w:b/>
      <w:bCs/>
      <w:kern w:val="2"/>
      <w:sz w:val="22"/>
      <w:szCs w:val="22"/>
    </w:rPr>
  </w:style>
  <w:style w:type="character" w:customStyle="1" w:styleId="17">
    <w:name w:val="批注框文本 Char"/>
    <w:link w:val="5"/>
    <w:semiHidden/>
    <w:qFormat/>
    <w:locked/>
    <w:uiPriority w:val="99"/>
    <w:rPr>
      <w:rFonts w:ascii="Calibri" w:hAnsi="Calibri" w:eastAsia="宋体" w:cs="Times New Roman"/>
      <w:kern w:val="2"/>
      <w:sz w:val="18"/>
      <w:szCs w:val="18"/>
    </w:rPr>
  </w:style>
  <w:style w:type="paragraph" w:customStyle="1" w:styleId="18">
    <w:name w:val="列表段落1"/>
    <w:basedOn w:val="1"/>
    <w:qFormat/>
    <w:uiPriority w:val="99"/>
    <w:pPr>
      <w:ind w:firstLine="420" w:firstLineChars="200"/>
    </w:pPr>
  </w:style>
  <w:style w:type="paragraph" w:customStyle="1" w:styleId="19">
    <w:name w:val="一级标题"/>
    <w:basedOn w:val="1"/>
    <w:qFormat/>
    <w:uiPriority w:val="0"/>
    <w:pPr>
      <w:spacing w:before="50" w:beforeLines="50" w:after="50" w:afterLines="50" w:line="600" w:lineRule="atLeast"/>
      <w:ind w:firstLine="640" w:firstLineChars="200"/>
    </w:pPr>
    <w:rPr>
      <w:rFonts w:hint="eastAsia" w:ascii="黑体" w:hAnsi="黑体" w:eastAsia="黑体"/>
      <w:sz w:val="32"/>
      <w:szCs w:val="32"/>
    </w:rPr>
  </w:style>
  <w:style w:type="paragraph" w:customStyle="1" w:styleId="20">
    <w:name w:val="二级标题"/>
    <w:basedOn w:val="1"/>
    <w:qFormat/>
    <w:uiPriority w:val="0"/>
    <w:pPr>
      <w:spacing w:before="50" w:beforeLines="50" w:after="50" w:afterLines="50" w:line="600" w:lineRule="atLeast"/>
      <w:ind w:firstLine="640" w:firstLineChars="200"/>
    </w:pPr>
    <w:rPr>
      <w:rFonts w:hint="eastAsia" w:ascii="黑体" w:hAnsi="黑体" w:eastAsia="楷体"/>
      <w:b/>
      <w:sz w:val="32"/>
      <w:szCs w:val="32"/>
    </w:rPr>
  </w:style>
  <w:style w:type="paragraph" w:customStyle="1" w:styleId="21">
    <w:name w:val="三级标题"/>
    <w:basedOn w:val="1"/>
    <w:qFormat/>
    <w:uiPriority w:val="0"/>
    <w:pPr>
      <w:spacing w:line="600" w:lineRule="atLeast"/>
      <w:ind w:firstLine="482" w:firstLineChars="200"/>
    </w:pPr>
    <w:rPr>
      <w:rFonts w:ascii="宋体" w:hAnsi="宋体" w:eastAsia="仿宋"/>
      <w:b/>
      <w:color w:val="00000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8185</Words>
  <Characters>8522</Characters>
  <Lines>73</Lines>
  <Paragraphs>20</Paragraphs>
  <TotalTime>1</TotalTime>
  <ScaleCrop>false</ScaleCrop>
  <LinksUpToDate>false</LinksUpToDate>
  <CharactersWithSpaces>8635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2018-05-16T01:29:00Z</dcterms:created>
  <dc:creator>lenovo</dc:creator>
  <cp:lastModifiedBy>11068</cp:lastModifiedBy>
  <dcterms:modified xsi:type="dcterms:W3CDTF">2022-05-02T13:57:25Z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linkTarget="0">
    <vt:lpwstr>6</vt:lpwstr>
  </property>
  <property fmtid="{D5CDD505-2E9C-101B-9397-08002B2CF9AE}" pid="4" name="ICV">
    <vt:lpwstr>33891E544C31439594932EF75765A29E</vt:lpwstr>
  </property>
  <property fmtid="{D5CDD505-2E9C-101B-9397-08002B2CF9AE}" pid="5" name="commondata">
    <vt:lpwstr>eyJoZGlkIjoiYjQyMmRmZGQ2ZTZiNGYwNDk5ZTViNjJjYTRkZjIzOWYifQ==</vt:lpwstr>
  </property>
</Properties>
</file>