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8"/>
          <w:szCs w:val="56"/>
          <w:lang w:eastAsia="zh-CN"/>
        </w:rPr>
      </w:pPr>
    </w:p>
    <w:p>
      <w:pPr>
        <w:rPr>
          <w:rFonts w:ascii="黑体" w:hAnsi="黑体" w:eastAsia="黑体" w:cs="黑体"/>
          <w:sz w:val="48"/>
          <w:szCs w:val="56"/>
        </w:rPr>
      </w:pPr>
    </w:p>
    <w:p>
      <w:pPr>
        <w:rPr>
          <w:rFonts w:ascii="黑体" w:hAnsi="黑体" w:eastAsia="黑体" w:cs="黑体"/>
          <w:sz w:val="48"/>
          <w:szCs w:val="56"/>
        </w:rPr>
      </w:pPr>
    </w:p>
    <w:p>
      <w:pPr>
        <w:jc w:val="center"/>
        <w:rPr>
          <w:rFonts w:ascii="黑体" w:hAnsi="黑体" w:eastAsia="黑体" w:cs="黑体"/>
          <w:b/>
          <w:bCs/>
          <w:sz w:val="52"/>
          <w:szCs w:val="72"/>
        </w:rPr>
      </w:pPr>
      <w:r>
        <w:rPr>
          <w:rFonts w:hint="eastAsia" w:ascii="黑体" w:hAnsi="黑体" w:eastAsia="黑体" w:cs="黑体"/>
          <w:b/>
          <w:bCs/>
          <w:sz w:val="52"/>
          <w:szCs w:val="72"/>
        </w:rPr>
        <w:t>学位授权点建设年度报告</w:t>
      </w:r>
    </w:p>
    <w:p>
      <w:pPr>
        <w:jc w:val="center"/>
      </w:pPr>
      <w:r>
        <w:rPr>
          <w:rFonts w:hint="eastAsia" w:ascii="楷体" w:hAnsi="楷体" w:eastAsia="楷体" w:cs="楷体"/>
          <w:sz w:val="28"/>
          <w:szCs w:val="36"/>
        </w:rPr>
        <w:t>（202</w:t>
      </w:r>
      <w:r>
        <w:rPr>
          <w:rFonts w:ascii="楷体" w:hAnsi="楷体" w:eastAsia="楷体" w:cs="楷体"/>
          <w:sz w:val="28"/>
          <w:szCs w:val="36"/>
        </w:rPr>
        <w:t>2</w:t>
      </w:r>
      <w:r>
        <w:rPr>
          <w:rFonts w:hint="eastAsia" w:ascii="楷体" w:hAnsi="楷体" w:eastAsia="楷体" w:cs="楷体"/>
          <w:sz w:val="28"/>
          <w:szCs w:val="36"/>
        </w:rPr>
        <w:t>年）</w:t>
      </w:r>
    </w:p>
    <w:p/>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4261" w:type="dxa"/>
            <w:vMerge w:val="restart"/>
            <w:shd w:val="clear" w:color="auto" w:fill="auto"/>
            <w:vAlign w:val="center"/>
          </w:tcPr>
          <w:p>
            <w:pPr>
              <w:jc w:val="center"/>
              <w:rPr>
                <w:rFonts w:ascii="楷体" w:hAnsi="楷体" w:eastAsia="楷体" w:cs="楷体"/>
                <w:sz w:val="28"/>
                <w:szCs w:val="36"/>
              </w:rPr>
            </w:pPr>
            <w:r>
              <w:rPr>
                <w:rFonts w:hint="eastAsia" w:ascii="楷体" w:hAnsi="楷体" w:eastAsia="楷体" w:cs="楷体"/>
                <w:sz w:val="28"/>
                <w:szCs w:val="36"/>
              </w:rPr>
              <w:t xml:space="preserve">               学位授予单位</w:t>
            </w:r>
          </w:p>
        </w:tc>
        <w:tc>
          <w:tcPr>
            <w:tcW w:w="2867" w:type="dxa"/>
            <w:shd w:val="clear" w:color="auto" w:fill="auto"/>
          </w:tcPr>
          <w:p>
            <w:pPr>
              <w:rPr>
                <w:rFonts w:ascii="楷体" w:hAnsi="楷体" w:eastAsia="楷体" w:cs="楷体"/>
                <w:sz w:val="28"/>
                <w:szCs w:val="36"/>
              </w:rPr>
            </w:pPr>
            <w:r>
              <w:rPr>
                <w:rFonts w:hint="eastAsia" w:ascii="楷体" w:hAnsi="楷体" w:eastAsia="楷体" w:cs="楷体"/>
                <w:sz w:val="28"/>
                <w:szCs w:val="36"/>
              </w:rPr>
              <w:t>名称  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rPr>
                <w:rFonts w:ascii="楷体" w:hAnsi="楷体" w:eastAsia="楷体" w:cs="楷体"/>
                <w:sz w:val="28"/>
                <w:szCs w:val="36"/>
              </w:rPr>
            </w:pPr>
          </w:p>
        </w:tc>
        <w:tc>
          <w:tcPr>
            <w:tcW w:w="2867" w:type="dxa"/>
            <w:shd w:val="clear" w:color="auto" w:fill="auto"/>
          </w:tcPr>
          <w:p>
            <w:pPr>
              <w:rPr>
                <w:rFonts w:ascii="楷体" w:hAnsi="楷体" w:eastAsia="楷体" w:cs="楷体"/>
                <w:sz w:val="28"/>
                <w:szCs w:val="36"/>
              </w:rPr>
            </w:pPr>
            <w:r>
              <w:rPr>
                <w:rFonts w:hint="eastAsia" w:ascii="楷体" w:hAnsi="楷体" w:eastAsia="楷体" w:cs="楷体"/>
                <w:sz w:val="28"/>
                <w:szCs w:val="36"/>
              </w:rPr>
              <w:t>代码  10389</w:t>
            </w:r>
          </w:p>
        </w:tc>
      </w:tr>
    </w:tbl>
    <w:p>
      <w:pPr>
        <w:rPr>
          <w:rFonts w:ascii="楷体" w:hAnsi="楷体" w:eastAsia="楷体" w:cs="楷体"/>
          <w:sz w:val="28"/>
          <w:szCs w:val="36"/>
        </w:rPr>
      </w:pP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3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jc w:val="center"/>
              <w:rPr>
                <w:rFonts w:ascii="楷体" w:hAnsi="楷体" w:eastAsia="楷体" w:cs="楷体"/>
                <w:sz w:val="28"/>
                <w:szCs w:val="36"/>
              </w:rPr>
            </w:pPr>
            <w:r>
              <w:rPr>
                <w:rFonts w:hint="eastAsia" w:ascii="楷体" w:hAnsi="楷体" w:eastAsia="楷体" w:cs="楷体"/>
                <w:sz w:val="28"/>
                <w:szCs w:val="36"/>
              </w:rPr>
              <w:t xml:space="preserve">               授权学科</w:t>
            </w:r>
          </w:p>
          <w:p>
            <w:pPr>
              <w:jc w:val="center"/>
              <w:rPr>
                <w:rFonts w:ascii="楷体" w:hAnsi="楷体" w:eastAsia="楷体" w:cs="楷体"/>
                <w:sz w:val="28"/>
                <w:szCs w:val="36"/>
              </w:rPr>
            </w:pPr>
            <w:r>
              <w:rPr>
                <w:rFonts w:hint="eastAsia" w:ascii="楷体" w:hAnsi="楷体" w:eastAsia="楷体" w:cs="楷体"/>
                <w:sz w:val="28"/>
                <w:szCs w:val="36"/>
              </w:rPr>
              <w:t xml:space="preserve">               （类别）</w:t>
            </w:r>
          </w:p>
        </w:tc>
        <w:tc>
          <w:tcPr>
            <w:tcW w:w="2332" w:type="dxa"/>
            <w:shd w:val="clear" w:color="auto" w:fill="auto"/>
          </w:tcPr>
          <w:p>
            <w:pPr>
              <w:rPr>
                <w:rFonts w:ascii="楷体" w:hAnsi="楷体" w:eastAsia="楷体" w:cs="楷体"/>
                <w:sz w:val="28"/>
                <w:szCs w:val="36"/>
              </w:rPr>
            </w:pPr>
            <w:r>
              <w:rPr>
                <w:rFonts w:hint="eastAsia" w:ascii="楷体" w:hAnsi="楷体" w:eastAsia="楷体" w:cs="楷体"/>
                <w:sz w:val="28"/>
                <w:szCs w:val="36"/>
              </w:rPr>
              <w:t xml:space="preserve">名称 </w:t>
            </w:r>
            <w:r>
              <w:rPr>
                <w:rFonts w:ascii="楷体" w:hAnsi="楷体" w:eastAsia="楷体" w:cs="楷体"/>
                <w:sz w:val="28"/>
                <w:szCs w:val="36"/>
              </w:rPr>
              <w:t xml:space="preserve"> </w:t>
            </w:r>
            <w:r>
              <w:rPr>
                <w:rFonts w:hint="eastAsia" w:ascii="楷体" w:hAnsi="楷体" w:eastAsia="楷体" w:cs="楷体"/>
                <w:sz w:val="28"/>
                <w:szCs w:val="36"/>
              </w:rPr>
              <w:t>农业</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rPr>
                <w:rFonts w:ascii="楷体" w:hAnsi="楷体" w:eastAsia="楷体" w:cs="楷体"/>
                <w:sz w:val="28"/>
                <w:szCs w:val="36"/>
              </w:rPr>
            </w:pPr>
          </w:p>
        </w:tc>
        <w:tc>
          <w:tcPr>
            <w:tcW w:w="2332" w:type="dxa"/>
            <w:shd w:val="clear" w:color="auto" w:fill="auto"/>
          </w:tcPr>
          <w:p>
            <w:pPr>
              <w:rPr>
                <w:rFonts w:ascii="楷体" w:hAnsi="楷体" w:eastAsia="楷体" w:cs="楷体"/>
                <w:sz w:val="28"/>
                <w:szCs w:val="36"/>
              </w:rPr>
            </w:pPr>
            <w:r>
              <w:rPr>
                <w:rFonts w:hint="eastAsia" w:ascii="楷体" w:hAnsi="楷体" w:eastAsia="楷体" w:cs="楷体"/>
                <w:sz w:val="28"/>
                <w:szCs w:val="36"/>
              </w:rPr>
              <w:t xml:space="preserve">代码 </w:t>
            </w:r>
            <w:r>
              <w:rPr>
                <w:rFonts w:ascii="楷体" w:hAnsi="楷体" w:eastAsia="楷体" w:cs="楷体"/>
                <w:sz w:val="28"/>
                <w:szCs w:val="36"/>
              </w:rPr>
              <w:t xml:space="preserve"> 0951</w:t>
            </w:r>
          </w:p>
        </w:tc>
      </w:tr>
    </w:tbl>
    <w:p>
      <w:pPr>
        <w:rPr>
          <w:rFonts w:ascii="楷体" w:hAnsi="楷体" w:eastAsia="楷体" w:cs="楷体"/>
          <w:sz w:val="28"/>
          <w:szCs w:val="36"/>
        </w:rPr>
      </w:pP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jc w:val="center"/>
              <w:rPr>
                <w:rFonts w:ascii="楷体" w:hAnsi="楷体" w:eastAsia="楷体" w:cs="楷体"/>
                <w:sz w:val="28"/>
                <w:szCs w:val="36"/>
              </w:rPr>
            </w:pPr>
            <w:r>
              <w:rPr>
                <w:rFonts w:hint="eastAsia" w:ascii="楷体" w:hAnsi="楷体" w:eastAsia="楷体" w:cs="楷体"/>
                <w:sz w:val="28"/>
                <w:szCs w:val="36"/>
              </w:rPr>
              <w:t xml:space="preserve">               授权级别</w:t>
            </w:r>
          </w:p>
        </w:tc>
        <w:tc>
          <w:tcPr>
            <w:tcW w:w="2347" w:type="dxa"/>
            <w:shd w:val="clear" w:color="auto" w:fill="auto"/>
          </w:tcPr>
          <w:p>
            <w:pPr>
              <w:rPr>
                <w:rFonts w:ascii="楷体" w:hAnsi="楷体" w:eastAsia="楷体" w:cs="楷体"/>
                <w:sz w:val="28"/>
                <w:szCs w:val="36"/>
              </w:rPr>
            </w:pPr>
            <w:r>
              <w:rPr>
                <w:rFonts w:hint="eastAsia" w:ascii="楷体" w:hAnsi="楷体" w:eastAsia="楷体" w:cs="楷体"/>
                <w:sz w:val="28"/>
                <w:szCs w:val="36"/>
              </w:rPr>
              <w:t>□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rPr>
                <w:rFonts w:ascii="楷体" w:hAnsi="楷体" w:eastAsia="楷体" w:cs="楷体"/>
                <w:sz w:val="28"/>
                <w:szCs w:val="36"/>
              </w:rPr>
            </w:pPr>
          </w:p>
        </w:tc>
        <w:tc>
          <w:tcPr>
            <w:tcW w:w="2347" w:type="dxa"/>
            <w:shd w:val="clear" w:color="auto" w:fill="auto"/>
          </w:tcPr>
          <w:p>
            <w:pPr>
              <w:rPr>
                <w:rFonts w:ascii="楷体" w:hAnsi="楷体" w:eastAsia="楷体" w:cs="楷体"/>
                <w:sz w:val="28"/>
                <w:szCs w:val="36"/>
              </w:rPr>
            </w:pPr>
            <w:r>
              <w:rPr>
                <w:rFonts w:hint="eastAsia" w:ascii="楷体" w:hAnsi="楷体" w:eastAsia="楷体" w:cs="楷体"/>
                <w:sz w:val="28"/>
                <w:szCs w:val="36"/>
              </w:rPr>
              <w:t>√ 硕士</w:t>
            </w:r>
          </w:p>
        </w:tc>
      </w:tr>
    </w:tbl>
    <w:p>
      <w:pPr>
        <w:rPr>
          <w:rFonts w:ascii="楷体" w:hAnsi="楷体" w:eastAsia="楷体" w:cs="楷体"/>
          <w:sz w:val="28"/>
          <w:szCs w:val="36"/>
        </w:rPr>
      </w:pPr>
    </w:p>
    <w:p>
      <w:pPr>
        <w:jc w:val="center"/>
        <w:rPr>
          <w:rFonts w:ascii="楷体" w:hAnsi="楷体" w:eastAsia="楷体" w:cs="楷体"/>
          <w:sz w:val="36"/>
          <w:szCs w:val="44"/>
        </w:rPr>
      </w:pPr>
    </w:p>
    <w:p>
      <w:pPr>
        <w:jc w:val="center"/>
        <w:rPr>
          <w:rFonts w:ascii="楷体" w:hAnsi="楷体" w:eastAsia="楷体" w:cs="楷体"/>
          <w:sz w:val="28"/>
          <w:szCs w:val="36"/>
        </w:rPr>
      </w:pPr>
      <w:r>
        <w:rPr>
          <w:rFonts w:hint="eastAsia" w:ascii="楷体" w:hAnsi="楷体" w:eastAsia="楷体" w:cs="楷体"/>
          <w:sz w:val="28"/>
          <w:szCs w:val="36"/>
        </w:rPr>
        <w:t>202</w:t>
      </w:r>
      <w:r>
        <w:rPr>
          <w:rFonts w:hint="eastAsia" w:ascii="楷体" w:hAnsi="楷体" w:eastAsia="楷体" w:cs="楷体"/>
          <w:sz w:val="28"/>
          <w:szCs w:val="36"/>
          <w:lang w:val="en-US" w:eastAsia="zh-CN"/>
        </w:rPr>
        <w:t>2</w:t>
      </w:r>
      <w:r>
        <w:rPr>
          <w:rFonts w:hint="eastAsia" w:ascii="楷体" w:hAnsi="楷体" w:eastAsia="楷体" w:cs="楷体"/>
          <w:sz w:val="28"/>
          <w:szCs w:val="36"/>
        </w:rPr>
        <w:t>年</w:t>
      </w:r>
      <w:r>
        <w:rPr>
          <w:rFonts w:hint="eastAsia" w:ascii="楷体" w:hAnsi="楷体" w:eastAsia="楷体" w:cs="楷体"/>
          <w:sz w:val="28"/>
          <w:szCs w:val="36"/>
          <w:lang w:val="en-US" w:eastAsia="zh-CN"/>
        </w:rPr>
        <w:t>12</w:t>
      </w:r>
      <w:r>
        <w:rPr>
          <w:rFonts w:hint="eastAsia" w:ascii="楷体" w:hAnsi="楷体" w:eastAsia="楷体" w:cs="楷体"/>
          <w:sz w:val="28"/>
          <w:szCs w:val="36"/>
        </w:rPr>
        <w:t>月</w:t>
      </w:r>
      <w:r>
        <w:rPr>
          <w:rFonts w:hint="eastAsia" w:ascii="楷体" w:hAnsi="楷体" w:eastAsia="楷体" w:cs="楷体"/>
          <w:sz w:val="28"/>
          <w:szCs w:val="36"/>
          <w:lang w:val="en-US" w:eastAsia="zh-CN"/>
        </w:rPr>
        <w:t>30</w:t>
      </w:r>
      <w:r>
        <w:rPr>
          <w:rFonts w:hint="eastAsia" w:ascii="楷体" w:hAnsi="楷体" w:eastAsia="楷体" w:cs="楷体"/>
          <w:sz w:val="28"/>
          <w:szCs w:val="36"/>
        </w:rPr>
        <w:t>日</w:t>
      </w:r>
    </w:p>
    <w:p>
      <w:pPr>
        <w:jc w:val="center"/>
        <w:rPr>
          <w:rFonts w:ascii="楷体" w:hAnsi="楷体" w:eastAsia="楷体" w:cs="楷体"/>
          <w:sz w:val="28"/>
          <w:szCs w:val="36"/>
        </w:rPr>
      </w:pPr>
    </w:p>
    <w:p>
      <w:pPr>
        <w:jc w:val="center"/>
        <w:rPr>
          <w:rFonts w:ascii="楷体" w:hAnsi="楷体" w:eastAsia="楷体" w:cs="楷体"/>
          <w:sz w:val="28"/>
          <w:szCs w:val="36"/>
        </w:rPr>
      </w:pPr>
    </w:p>
    <w:p>
      <w:pPr>
        <w:jc w:val="center"/>
        <w:rPr>
          <w:rFonts w:ascii="楷体" w:hAnsi="楷体" w:eastAsia="楷体" w:cs="楷体"/>
          <w:sz w:val="28"/>
          <w:szCs w:val="36"/>
        </w:rPr>
      </w:pPr>
    </w:p>
    <w:p>
      <w:pPr>
        <w:spacing w:after="156" w:afterLines="50"/>
        <w:jc w:val="center"/>
        <w:rPr>
          <w:rFonts w:ascii="方正小标宋_GBK" w:hAnsi="宋体" w:eastAsia="方正小标宋_GBK" w:cs="宋体"/>
          <w:sz w:val="36"/>
          <w:szCs w:val="36"/>
        </w:rPr>
      </w:pPr>
      <w:bookmarkStart w:id="13" w:name="_GoBack"/>
      <w:bookmarkEnd w:id="13"/>
      <w:r>
        <w:rPr>
          <w:rFonts w:hint="eastAsia" w:ascii="方正小标宋_GBK" w:hAnsi="宋体" w:eastAsia="方正小标宋_GBK" w:cs="宋体"/>
          <w:sz w:val="36"/>
          <w:szCs w:val="36"/>
        </w:rPr>
        <w:t>引  言</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福建农林大学是以农林学科为优势和特色，理、工、经、管、法、艺等多学科协调发展的省属重点大学，是农业农村部、国家林草局与福建省政府共建高校，福建省一流大学建设高校。学校是全国首批硕士学位授予权单位和全国第二批博士学位授予权单位。1962年学校开始招收研究生，1981年获全国首批硕士学位授予权，1984年获全国第二批博士学位授予权，1995年建立博士后科研流动站，1998年获得一级学科博士学位授予权。</w:t>
      </w:r>
    </w:p>
    <w:p>
      <w:pPr>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年来，学校坚持以习近平新时代中国特色社会主义思想为指导，认真学习贯彻习近平总书记来闽考察重要讲话和对研究生教育工作的重要指示精神，全面落实全国教育大会、全国高校思想政治工作会议和全国研究生教育会议精神，坚持以“立德树人、服务需求、提高质量、追求卓越”为主线，不断深化研究生教育综合改革，加强思想政治教育，构建高水平研究生培养体系，完善研究生教育质量保障体系，全面推进新时代研究生教育高质量发展。</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为落实研究生教育质量反馈机制，根据有关要求，特编写了《202</w:t>
      </w:r>
      <w:r>
        <w:rPr>
          <w:rFonts w:ascii="仿宋_GB2312" w:hAnsi="宋体" w:eastAsia="仿宋_GB2312" w:cs="宋体"/>
          <w:sz w:val="32"/>
          <w:szCs w:val="32"/>
        </w:rPr>
        <w:t>2</w:t>
      </w:r>
      <w:r>
        <w:rPr>
          <w:rFonts w:hint="eastAsia" w:ascii="仿宋_GB2312" w:hAnsi="宋体" w:eastAsia="仿宋_GB2312" w:cs="宋体"/>
          <w:sz w:val="32"/>
          <w:szCs w:val="32"/>
        </w:rPr>
        <w:t>年农业学位授权点建设年度报告》。</w:t>
      </w:r>
    </w:p>
    <w:sdt>
      <w:sdtPr>
        <w:rPr>
          <w:rFonts w:asciiTheme="minorHAnsi" w:hAnsiTheme="minorHAnsi" w:eastAsiaTheme="minorEastAsia" w:cstheme="minorBidi"/>
          <w:b/>
          <w:bCs/>
          <w:color w:val="auto"/>
          <w:kern w:val="2"/>
          <w:sz w:val="21"/>
          <w:szCs w:val="22"/>
          <w:lang w:val="zh-CN"/>
        </w:rPr>
        <w:id w:val="44465393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0"/>
            <w:numPr>
              <w:ilvl w:val="0"/>
              <w:numId w:val="0"/>
            </w:numPr>
            <w:jc w:val="center"/>
            <w:rPr>
              <w:rFonts w:ascii="仿宋" w:hAnsi="仿宋" w:eastAsia="仿宋"/>
              <w:b/>
              <w:bCs/>
              <w:color w:val="auto"/>
              <w:sz w:val="36"/>
              <w:szCs w:val="36"/>
            </w:rPr>
          </w:pPr>
          <w:r>
            <w:rPr>
              <w:rFonts w:ascii="仿宋" w:hAnsi="仿宋" w:eastAsia="仿宋"/>
              <w:b/>
              <w:bCs/>
              <w:color w:val="auto"/>
              <w:sz w:val="36"/>
              <w:szCs w:val="36"/>
              <w:lang w:val="zh-CN"/>
            </w:rPr>
            <w:t>目</w:t>
          </w:r>
          <w:r>
            <w:rPr>
              <w:rFonts w:hint="eastAsia" w:ascii="仿宋" w:hAnsi="仿宋" w:eastAsia="仿宋"/>
              <w:b/>
              <w:bCs/>
              <w:color w:val="auto"/>
              <w:sz w:val="36"/>
              <w:szCs w:val="36"/>
              <w:lang w:val="zh-CN"/>
            </w:rPr>
            <w:t xml:space="preserve"> </w:t>
          </w:r>
          <w:r>
            <w:rPr>
              <w:rFonts w:ascii="仿宋" w:hAnsi="仿宋" w:eastAsia="仿宋"/>
              <w:b/>
              <w:bCs/>
              <w:color w:val="auto"/>
              <w:sz w:val="36"/>
              <w:szCs w:val="36"/>
              <w:lang w:val="zh-CN"/>
            </w:rPr>
            <w:t>录</w:t>
          </w:r>
        </w:p>
        <w:p>
          <w:pPr>
            <w:pStyle w:val="10"/>
            <w:rPr>
              <w:rFonts w:ascii="仿宋" w:hAnsi="仿宋" w:eastAsia="仿宋" w:cstheme="minorBidi"/>
              <w:kern w:val="2"/>
              <w:sz w:val="28"/>
              <w:szCs w:val="28"/>
            </w:rPr>
          </w:pPr>
          <w:r>
            <w:rPr>
              <w:b/>
              <w:bCs/>
              <w:lang w:val="zh-CN"/>
            </w:rPr>
            <w:fldChar w:fldCharType="begin"/>
          </w:r>
          <w:r>
            <w:rPr>
              <w:b/>
              <w:bCs/>
              <w:lang w:val="zh-CN"/>
            </w:rPr>
            <w:instrText xml:space="preserve"> TOC \o "1-3" \h \z \u </w:instrText>
          </w:r>
          <w:r>
            <w:rPr>
              <w:b/>
              <w:bCs/>
              <w:lang w:val="zh-CN"/>
            </w:rPr>
            <w:fldChar w:fldCharType="separate"/>
          </w:r>
          <w:r>
            <w:rPr>
              <w:b/>
              <w:bCs/>
            </w:rPr>
            <w:fldChar w:fldCharType="begin"/>
          </w:r>
          <w:r>
            <w:rPr>
              <w:b/>
              <w:bCs/>
            </w:rPr>
            <w:instrText xml:space="preserve"> HYPERLINK \l "_Toc102119098" </w:instrText>
          </w:r>
          <w:r>
            <w:rPr>
              <w:b/>
              <w:bCs/>
            </w:rPr>
            <w:fldChar w:fldCharType="separate"/>
          </w:r>
          <w:r>
            <w:rPr>
              <w:rStyle w:val="15"/>
              <w:rFonts w:hint="eastAsia" w:ascii="仿宋" w:hAnsi="仿宋" w:eastAsia="仿宋"/>
              <w:b/>
              <w:bCs/>
              <w:sz w:val="28"/>
              <w:szCs w:val="28"/>
            </w:rPr>
            <w:t>一、学位授权点基本情况</w:t>
          </w:r>
          <w:r>
            <w:rPr>
              <w:rFonts w:ascii="仿宋" w:hAnsi="仿宋" w:eastAsia="仿宋"/>
              <w:b/>
              <w:bCs/>
              <w:sz w:val="28"/>
              <w:szCs w:val="28"/>
            </w:rPr>
            <w:tab/>
          </w:r>
          <w:r>
            <w:rPr>
              <w:rFonts w:ascii="仿宋" w:hAnsi="仿宋" w:eastAsia="仿宋"/>
              <w:b/>
              <w:bCs/>
              <w:sz w:val="28"/>
              <w:szCs w:val="28"/>
            </w:rPr>
            <w:fldChar w:fldCharType="begin"/>
          </w:r>
          <w:r>
            <w:rPr>
              <w:rFonts w:ascii="仿宋" w:hAnsi="仿宋" w:eastAsia="仿宋"/>
              <w:b/>
              <w:bCs/>
              <w:sz w:val="28"/>
              <w:szCs w:val="28"/>
            </w:rPr>
            <w:instrText xml:space="preserve"> PAGEREF _Toc102119098 \h </w:instrText>
          </w:r>
          <w:r>
            <w:rPr>
              <w:rFonts w:ascii="仿宋" w:hAnsi="仿宋" w:eastAsia="仿宋"/>
              <w:b/>
              <w:bCs/>
              <w:sz w:val="28"/>
              <w:szCs w:val="28"/>
            </w:rPr>
            <w:fldChar w:fldCharType="separate"/>
          </w:r>
          <w:r>
            <w:rPr>
              <w:rFonts w:ascii="仿宋" w:hAnsi="仿宋" w:eastAsia="仿宋"/>
              <w:b/>
              <w:bCs/>
              <w:sz w:val="28"/>
              <w:szCs w:val="28"/>
            </w:rPr>
            <w:t>1</w:t>
          </w:r>
          <w:r>
            <w:rPr>
              <w:rFonts w:ascii="仿宋" w:hAnsi="仿宋" w:eastAsia="仿宋"/>
              <w:b/>
              <w:bCs/>
              <w:sz w:val="28"/>
              <w:szCs w:val="28"/>
            </w:rPr>
            <w:fldChar w:fldCharType="end"/>
          </w:r>
          <w:r>
            <w:rPr>
              <w:rFonts w:ascii="仿宋" w:hAnsi="仿宋" w:eastAsia="仿宋"/>
              <w:b/>
              <w:bCs/>
              <w:sz w:val="28"/>
              <w:szCs w:val="28"/>
            </w:rPr>
            <w:fldChar w:fldCharType="end"/>
          </w:r>
        </w:p>
        <w:p>
          <w:pPr>
            <w:pStyle w:val="11"/>
            <w:tabs>
              <w:tab w:val="left" w:pos="630"/>
              <w:tab w:val="right" w:leader="dot" w:pos="9060"/>
            </w:tabs>
            <w:rPr>
              <w:rFonts w:ascii="仿宋" w:hAnsi="仿宋" w:eastAsia="仿宋" w:cstheme="minorBidi"/>
              <w:kern w:val="2"/>
              <w:sz w:val="28"/>
              <w:szCs w:val="28"/>
            </w:rPr>
          </w:pPr>
          <w:r>
            <w:fldChar w:fldCharType="begin"/>
          </w:r>
          <w:r>
            <w:instrText xml:space="preserve"> HYPERLINK \l "_Toc102119099" </w:instrText>
          </w:r>
          <w:r>
            <w:fldChar w:fldCharType="separate"/>
          </w:r>
          <w:r>
            <w:rPr>
              <w:rStyle w:val="15"/>
              <w:rFonts w:ascii="仿宋" w:hAnsi="仿宋" w:eastAsia="仿宋"/>
              <w:sz w:val="28"/>
              <w:szCs w:val="28"/>
            </w:rPr>
            <w:t>.</w:t>
          </w:r>
          <w:r>
            <w:rPr>
              <w:rFonts w:ascii="仿宋" w:hAnsi="仿宋" w:eastAsia="仿宋" w:cstheme="minorBidi"/>
              <w:kern w:val="2"/>
              <w:sz w:val="28"/>
              <w:szCs w:val="28"/>
            </w:rPr>
            <w:tab/>
          </w:r>
          <w:r>
            <w:rPr>
              <w:rStyle w:val="15"/>
              <w:rFonts w:hint="eastAsia" w:ascii="仿宋" w:hAnsi="仿宋" w:eastAsia="仿宋"/>
              <w:sz w:val="28"/>
              <w:szCs w:val="28"/>
            </w:rPr>
            <w:t>（一）目标与标准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_Toc102119099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left" w:pos="630"/>
              <w:tab w:val="right" w:leader="dot" w:pos="9060"/>
            </w:tabs>
            <w:rPr>
              <w:rFonts w:ascii="仿宋" w:hAnsi="仿宋" w:eastAsia="仿宋" w:cstheme="minorBidi"/>
              <w:kern w:val="2"/>
              <w:sz w:val="28"/>
              <w:szCs w:val="28"/>
            </w:rPr>
          </w:pPr>
          <w:r>
            <w:fldChar w:fldCharType="begin"/>
          </w:r>
          <w:r>
            <w:instrText xml:space="preserve"> HYPERLINK \l "_Toc102119100" </w:instrText>
          </w:r>
          <w:r>
            <w:fldChar w:fldCharType="separate"/>
          </w:r>
          <w:r>
            <w:rPr>
              <w:rStyle w:val="15"/>
              <w:rFonts w:ascii="仿宋" w:hAnsi="仿宋" w:eastAsia="仿宋"/>
              <w:sz w:val="28"/>
              <w:szCs w:val="28"/>
            </w:rPr>
            <w:t>.</w:t>
          </w:r>
          <w:r>
            <w:rPr>
              <w:rFonts w:ascii="仿宋" w:hAnsi="仿宋" w:eastAsia="仿宋" w:cstheme="minorBidi"/>
              <w:kern w:val="2"/>
              <w:sz w:val="28"/>
              <w:szCs w:val="28"/>
            </w:rPr>
            <w:tab/>
          </w:r>
          <w:r>
            <w:rPr>
              <w:rStyle w:val="15"/>
              <w:rFonts w:hint="eastAsia" w:ascii="仿宋" w:hAnsi="仿宋" w:eastAsia="仿宋"/>
              <w:sz w:val="28"/>
              <w:szCs w:val="28"/>
            </w:rPr>
            <w:t>（二）基本条件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_Toc102119100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tabs>
              <w:tab w:val="left" w:pos="630"/>
              <w:tab w:val="right" w:leader="dot" w:pos="9060"/>
            </w:tabs>
            <w:rPr>
              <w:rFonts w:ascii="仿宋" w:hAnsi="仿宋" w:eastAsia="仿宋" w:cstheme="minorBidi"/>
              <w:kern w:val="2"/>
              <w:sz w:val="28"/>
              <w:szCs w:val="28"/>
            </w:rPr>
          </w:pPr>
          <w:r>
            <w:fldChar w:fldCharType="begin"/>
          </w:r>
          <w:r>
            <w:instrText xml:space="preserve"> HYPERLINK \l "_Toc102119101" </w:instrText>
          </w:r>
          <w:r>
            <w:fldChar w:fldCharType="separate"/>
          </w:r>
          <w:r>
            <w:rPr>
              <w:rStyle w:val="15"/>
              <w:rFonts w:ascii="仿宋" w:hAnsi="仿宋" w:eastAsia="仿宋"/>
              <w:sz w:val="28"/>
              <w:szCs w:val="28"/>
            </w:rPr>
            <w:t>.</w:t>
          </w:r>
          <w:r>
            <w:rPr>
              <w:rFonts w:ascii="仿宋" w:hAnsi="仿宋" w:eastAsia="仿宋" w:cstheme="minorBidi"/>
              <w:kern w:val="2"/>
              <w:sz w:val="28"/>
              <w:szCs w:val="28"/>
            </w:rPr>
            <w:tab/>
          </w:r>
          <w:r>
            <w:rPr>
              <w:rStyle w:val="15"/>
              <w:rFonts w:hint="eastAsia" w:ascii="仿宋" w:hAnsi="仿宋" w:eastAsia="仿宋"/>
              <w:sz w:val="28"/>
              <w:szCs w:val="28"/>
            </w:rPr>
            <w:t>（三）人才培养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_Toc102119101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tabs>
              <w:tab w:val="left" w:pos="630"/>
              <w:tab w:val="right" w:leader="dot" w:pos="9060"/>
            </w:tabs>
            <w:rPr>
              <w:rFonts w:ascii="仿宋" w:hAnsi="仿宋" w:eastAsia="仿宋" w:cstheme="minorBidi"/>
              <w:kern w:val="2"/>
              <w:sz w:val="28"/>
              <w:szCs w:val="28"/>
            </w:rPr>
          </w:pPr>
          <w:r>
            <w:fldChar w:fldCharType="begin"/>
          </w:r>
          <w:r>
            <w:instrText xml:space="preserve"> HYPERLINK \l "_Toc102119102" </w:instrText>
          </w:r>
          <w:r>
            <w:fldChar w:fldCharType="separate"/>
          </w:r>
          <w:r>
            <w:rPr>
              <w:rStyle w:val="15"/>
              <w:rFonts w:ascii="仿宋" w:hAnsi="仿宋" w:eastAsia="仿宋"/>
              <w:sz w:val="28"/>
              <w:szCs w:val="28"/>
            </w:rPr>
            <w:t>.</w:t>
          </w:r>
          <w:r>
            <w:rPr>
              <w:rFonts w:ascii="仿宋" w:hAnsi="仿宋" w:eastAsia="仿宋" w:cstheme="minorBidi"/>
              <w:kern w:val="2"/>
              <w:sz w:val="28"/>
              <w:szCs w:val="28"/>
            </w:rPr>
            <w:tab/>
          </w:r>
          <w:r>
            <w:rPr>
              <w:rStyle w:val="15"/>
              <w:rFonts w:hint="eastAsia" w:ascii="仿宋" w:hAnsi="仿宋" w:eastAsia="仿宋"/>
              <w:sz w:val="28"/>
              <w:szCs w:val="28"/>
            </w:rPr>
            <w:t>（四）质量监控</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_Toc102119102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ascii="仿宋" w:hAnsi="仿宋" w:eastAsia="仿宋" w:cstheme="minorBidi"/>
              <w:kern w:val="2"/>
              <w:sz w:val="28"/>
              <w:szCs w:val="28"/>
            </w:rPr>
          </w:pPr>
          <w:r>
            <w:fldChar w:fldCharType="begin"/>
          </w:r>
          <w:r>
            <w:instrText xml:space="preserve"> HYPERLINK \l "_Toc102119103" </w:instrText>
          </w:r>
          <w:r>
            <w:fldChar w:fldCharType="separate"/>
          </w:r>
          <w:r>
            <w:rPr>
              <w:rStyle w:val="15"/>
              <w:rFonts w:hint="eastAsia" w:ascii="仿宋" w:hAnsi="仿宋" w:eastAsia="仿宋"/>
              <w:b/>
              <w:bCs/>
              <w:sz w:val="28"/>
              <w:szCs w:val="28"/>
            </w:rPr>
            <w:t>二、工作特色与成效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_Toc102119103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rPr>
              <w:rFonts w:ascii="仿宋" w:hAnsi="仿宋" w:eastAsia="仿宋" w:cstheme="minorBidi"/>
              <w:kern w:val="2"/>
              <w:sz w:val="28"/>
              <w:szCs w:val="28"/>
            </w:rPr>
          </w:pPr>
          <w:r>
            <w:fldChar w:fldCharType="begin"/>
          </w:r>
          <w:r>
            <w:instrText xml:space="preserve"> HYPERLINK \l "_Toc102119104" </w:instrText>
          </w:r>
          <w:r>
            <w:fldChar w:fldCharType="separate"/>
          </w:r>
          <w:r>
            <w:rPr>
              <w:rStyle w:val="15"/>
              <w:rFonts w:hint="eastAsia" w:ascii="仿宋" w:hAnsi="仿宋" w:eastAsia="仿宋"/>
              <w:b/>
              <w:bCs/>
              <w:sz w:val="28"/>
              <w:szCs w:val="28"/>
            </w:rPr>
            <w:t>三、学位点建设存在的问题</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_Toc102119104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kern w:val="2"/>
            </w:rPr>
          </w:pPr>
          <w:r>
            <w:fldChar w:fldCharType="begin"/>
          </w:r>
          <w:r>
            <w:instrText xml:space="preserve"> HYPERLINK \l "_Toc102119105" </w:instrText>
          </w:r>
          <w:r>
            <w:fldChar w:fldCharType="separate"/>
          </w:r>
          <w:r>
            <w:rPr>
              <w:rStyle w:val="15"/>
              <w:rFonts w:hint="eastAsia" w:ascii="仿宋" w:hAnsi="仿宋" w:eastAsia="仿宋"/>
              <w:b/>
              <w:bCs/>
              <w:sz w:val="28"/>
              <w:szCs w:val="28"/>
            </w:rPr>
            <w:t>四、下一年度建设计划</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_Toc102119105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r>
            <w:rPr>
              <w:rFonts w:ascii="仿宋" w:hAnsi="仿宋" w:eastAsia="仿宋"/>
              <w:b/>
              <w:bCs/>
              <w:sz w:val="28"/>
              <w:szCs w:val="28"/>
              <w:lang w:val="zh-CN"/>
            </w:rPr>
            <w:fldChar w:fldCharType="end"/>
          </w:r>
        </w:p>
      </w:sdtContent>
    </w:sdt>
    <w:p/>
    <w:p/>
    <w:p/>
    <w:p/>
    <w:p/>
    <w:p/>
    <w:p/>
    <w:p/>
    <w:p/>
    <w:p>
      <w:pPr>
        <w:pStyle w:val="2"/>
        <w:pageBreakBefore w:val="0"/>
        <w:numPr>
          <w:ilvl w:val="0"/>
          <w:numId w:val="0"/>
        </w:numPr>
        <w:kinsoku/>
        <w:wordWrap/>
        <w:overflowPunct/>
        <w:topLinePunct w:val="0"/>
        <w:autoSpaceDE/>
        <w:autoSpaceDN/>
        <w:bidi w:val="0"/>
        <w:adjustRightInd/>
        <w:snapToGrid/>
        <w:spacing w:before="0" w:after="0" w:line="560" w:lineRule="exact"/>
        <w:ind w:leftChars="0"/>
        <w:textAlignment w:val="auto"/>
        <w:sectPr>
          <w:footerReference r:id="rId3" w:type="default"/>
          <w:type w:val="continuous"/>
          <w:pgSz w:w="11906" w:h="16838"/>
          <w:pgMar w:top="2098" w:right="1474" w:bottom="1984" w:left="1587" w:header="851" w:footer="992" w:gutter="0"/>
          <w:pgNumType w:start="1"/>
          <w:cols w:space="425" w:num="1"/>
          <w:docGrid w:type="lines" w:linePitch="312" w:charSpace="0"/>
        </w:sectPr>
      </w:pPr>
      <w:bookmarkStart w:id="0" w:name="_Toc102119098"/>
      <w:bookmarkStart w:id="1" w:name="_Hlk90385819"/>
    </w:p>
    <w:p>
      <w:pPr>
        <w:pStyle w:val="2"/>
        <w:pageBreakBefore w:val="0"/>
        <w:kinsoku/>
        <w:wordWrap/>
        <w:overflowPunct/>
        <w:topLinePunct w:val="0"/>
        <w:autoSpaceDE/>
        <w:autoSpaceDN/>
        <w:bidi w:val="0"/>
        <w:adjustRightInd/>
        <w:snapToGrid/>
        <w:spacing w:before="0" w:after="0" w:line="560" w:lineRule="exact"/>
        <w:jc w:val="both"/>
        <w:textAlignment w:val="auto"/>
        <w:rPr>
          <w:b w:val="0"/>
          <w:bCs w:val="0"/>
        </w:rPr>
      </w:pPr>
      <w:r>
        <w:rPr>
          <w:b w:val="0"/>
          <w:bCs w:val="0"/>
        </w:rPr>
        <w:t>一、学位授权点基本情况</w:t>
      </w:r>
      <w:bookmarkEnd w:id="0"/>
    </w:p>
    <w:p>
      <w:pPr>
        <w:pStyle w:val="3"/>
        <w:pageBreakBefore w:val="0"/>
        <w:kinsoku/>
        <w:wordWrap/>
        <w:overflowPunct/>
        <w:topLinePunct w:val="0"/>
        <w:autoSpaceDE/>
        <w:autoSpaceDN/>
        <w:bidi w:val="0"/>
        <w:adjustRightInd/>
        <w:snapToGrid/>
        <w:spacing w:before="0" w:after="0" w:line="560" w:lineRule="exact"/>
        <w:ind w:left="482" w:hanging="482"/>
        <w:jc w:val="both"/>
        <w:textAlignment w:val="auto"/>
        <w:rPr>
          <w:b w:val="0"/>
          <w:bCs w:val="0"/>
        </w:rPr>
      </w:pPr>
      <w:bookmarkStart w:id="2" w:name="_Toc102119099"/>
      <w:r>
        <w:rPr>
          <w:b w:val="0"/>
          <w:bCs w:val="0"/>
        </w:rPr>
        <w:t>（一）目标与标准</w:t>
      </w:r>
      <w:bookmarkEnd w:id="2"/>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农业硕士专业学位的培养目标以立德树人为根本，贯彻党和国家教育方针，面向国家和福建现代农业发展需求，服务现代农业产业化发展，培养德、智、体、美、劳全面发展，具有高尚的思想品德、正确的政治立场、严谨的治学态度、求实的创新精神和高水平的专业素质，培养能够引领与胜任现代农业产业化发展、与职业资质有效衔接的懂技术、能经营、会管理、具有“三农”情怀的，适应社会主义现代化建设的应用型、复合型高层次人才。</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通过培养，本专业学位毕业生应能掌握相关专业领域扎实的基础理论和宽广的专业知识、具有较强的解决实际问题的能力，在农业技术研究、农产品应用开发、农产品质量控制、成果推广、农村发展、农业可持续发展过程及规律的某个或几个方面有所建树，适应相关企业、事业单位和管理部门对专业人才的需求，满足国家和地方经济、文化、社会发展的需求。</w:t>
      </w:r>
    </w:p>
    <w:p>
      <w:pPr>
        <w:pStyle w:val="3"/>
        <w:pageBreakBefore w:val="0"/>
        <w:kinsoku/>
        <w:wordWrap/>
        <w:overflowPunct/>
        <w:topLinePunct w:val="0"/>
        <w:autoSpaceDE/>
        <w:autoSpaceDN/>
        <w:bidi w:val="0"/>
        <w:adjustRightInd/>
        <w:snapToGrid/>
        <w:spacing w:before="0" w:after="0" w:line="560" w:lineRule="exact"/>
        <w:ind w:left="482" w:hanging="482"/>
        <w:jc w:val="both"/>
        <w:textAlignment w:val="auto"/>
        <w:rPr>
          <w:b w:val="0"/>
          <w:bCs w:val="0"/>
        </w:rPr>
      </w:pPr>
      <w:bookmarkStart w:id="3" w:name="_Toc102119100"/>
      <w:r>
        <w:rPr>
          <w:b w:val="0"/>
          <w:bCs w:val="0"/>
        </w:rPr>
        <w:t>（二）基本条件</w:t>
      </w:r>
      <w:bookmarkEnd w:id="3"/>
    </w:p>
    <w:p>
      <w:pPr>
        <w:pageBreakBefore w:val="0"/>
        <w:kinsoku/>
        <w:wordWrap/>
        <w:overflowPunct/>
        <w:topLinePunct w:val="0"/>
        <w:autoSpaceDE/>
        <w:autoSpaceDN/>
        <w:bidi w:val="0"/>
        <w:adjustRightInd/>
        <w:snapToGrid/>
        <w:spacing w:line="560" w:lineRule="exact"/>
        <w:ind w:firstLine="648"/>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 培养方向</w:t>
      </w:r>
    </w:p>
    <w:p>
      <w:pPr>
        <w:pageBreakBefore w:val="0"/>
        <w:kinsoku/>
        <w:wordWrap/>
        <w:overflowPunct/>
        <w:topLinePunct w:val="0"/>
        <w:autoSpaceDE/>
        <w:autoSpaceDN/>
        <w:bidi w:val="0"/>
        <w:adjustRightInd/>
        <w:snapToGrid/>
        <w:spacing w:line="560" w:lineRule="exact"/>
        <w:ind w:firstLine="648"/>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农业硕士一共分为8个领域</w:t>
      </w:r>
      <w:r>
        <w:rPr>
          <w:rFonts w:ascii="Times New Roman" w:hAnsi="Times New Roman" w:eastAsia="仿宋_GB2312" w:cs="Times New Roman"/>
          <w:b w:val="0"/>
          <w:bCs w:val="0"/>
          <w:sz w:val="32"/>
          <w:szCs w:val="32"/>
        </w:rPr>
        <w:t>，分别为</w:t>
      </w:r>
      <w:r>
        <w:rPr>
          <w:rFonts w:hint="eastAsia" w:ascii="Times New Roman" w:hAnsi="Times New Roman" w:eastAsia="仿宋_GB2312" w:cs="Times New Roman"/>
          <w:b w:val="0"/>
          <w:bCs w:val="0"/>
          <w:sz w:val="32"/>
          <w:szCs w:val="32"/>
        </w:rPr>
        <w:t>农艺与种业、资源利用与植物保护、畜牧、渔业发展、食品加工与安全、农业工程与信息技术、农业管理与农村发展</w:t>
      </w:r>
      <w:r>
        <w:rPr>
          <w:rFonts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8"/>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 师资队伍</w:t>
      </w:r>
    </w:p>
    <w:p>
      <w:pPr>
        <w:pageBreakBefore w:val="0"/>
        <w:kinsoku/>
        <w:wordWrap/>
        <w:overflowPunct/>
        <w:topLinePunct w:val="0"/>
        <w:autoSpaceDE/>
        <w:autoSpaceDN/>
        <w:bidi w:val="0"/>
        <w:adjustRightInd/>
        <w:snapToGrid/>
        <w:spacing w:line="560" w:lineRule="exact"/>
        <w:ind w:firstLine="648"/>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农业硕士共有校内师资</w:t>
      </w:r>
      <w:r>
        <w:rPr>
          <w:rFonts w:ascii="Times New Roman" w:hAnsi="Times New Roman" w:eastAsia="仿宋_GB2312" w:cs="Times New Roman"/>
          <w:b w:val="0"/>
          <w:bCs w:val="0"/>
          <w:sz w:val="32"/>
          <w:szCs w:val="32"/>
        </w:rPr>
        <w:t>440人，其中45岁以下269人，高级职称268人（正高124人），博士学位370人，研究生导师387人（博导88人），有行业经历教师人数165人，校外师资366人</w:t>
      </w:r>
      <w:r>
        <w:rPr>
          <w:rFonts w:hint="eastAsia"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8"/>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3. 教学科研支撑</w:t>
      </w:r>
    </w:p>
    <w:p>
      <w:pPr>
        <w:pageBreakBefore w:val="0"/>
        <w:kinsoku/>
        <w:wordWrap/>
        <w:overflowPunct/>
        <w:topLinePunct w:val="0"/>
        <w:autoSpaceDE/>
        <w:autoSpaceDN/>
        <w:bidi w:val="0"/>
        <w:adjustRightInd/>
        <w:snapToGrid/>
        <w:spacing w:line="560" w:lineRule="exact"/>
        <w:ind w:firstLine="648"/>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制定专业宽口径与研究领域深基础相结合的个性化培养方案，形成开放灵活的选课机制和优胜劣汰的开课竞争机制，通过课程改革试点，推进研究生校级、省级示范课程建设。</w:t>
      </w:r>
    </w:p>
    <w:p>
      <w:pPr>
        <w:pageBreakBefore w:val="0"/>
        <w:kinsoku/>
        <w:wordWrap/>
        <w:overflowPunct/>
        <w:topLinePunct w:val="0"/>
        <w:autoSpaceDE/>
        <w:autoSpaceDN/>
        <w:bidi w:val="0"/>
        <w:adjustRightInd/>
        <w:snapToGrid/>
        <w:spacing w:line="560" w:lineRule="exact"/>
        <w:ind w:firstLine="648"/>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建有省级</w:t>
      </w:r>
      <w:r>
        <w:rPr>
          <w:rFonts w:ascii="Times New Roman" w:hAnsi="Times New Roman" w:eastAsia="仿宋_GB2312" w:cs="Times New Roman"/>
          <w:b w:val="0"/>
          <w:bCs w:val="0"/>
          <w:sz w:val="32"/>
          <w:szCs w:val="32"/>
        </w:rPr>
        <w:t>+校级+院级的联合培养基地体系，支撑研究生社会实践。实践训练内容包括教学实践、科研实践（生产实习）和社会实践以及专业论文写作的实践训练。对接乡村振兴战略需求，增加产教融合类课程，开设现代农业创新与乡村振兴战略公共课。</w:t>
      </w:r>
    </w:p>
    <w:p>
      <w:pPr>
        <w:pageBreakBefore w:val="0"/>
        <w:kinsoku/>
        <w:wordWrap/>
        <w:overflowPunct/>
        <w:topLinePunct w:val="0"/>
        <w:autoSpaceDE/>
        <w:autoSpaceDN/>
        <w:bidi w:val="0"/>
        <w:adjustRightInd/>
        <w:snapToGrid/>
        <w:spacing w:line="560" w:lineRule="exact"/>
        <w:ind w:firstLine="648"/>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为了更好地服务研究生培养，学校搭建了大型科学仪器共享平台，将学校教学科研仪器存量资产有效转化为设备资源，把教学、科研经费的使用与管理需求相结合，便利、快捷、高效地全方位服务于教学和科研，建立全校范围的大型仪器共享服务平台。</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4</w:t>
      </w:r>
      <w:r>
        <w:rPr>
          <w:rFonts w:ascii="Times New Roman" w:hAnsi="Times New Roman" w:eastAsia="仿宋_GB2312" w:cs="Times New Roman"/>
          <w:b w:val="0"/>
          <w:bCs w:val="0"/>
          <w:sz w:val="32"/>
          <w:szCs w:val="32"/>
        </w:rPr>
        <w:t>. 管理服务</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强化研究生教育管理的组织建设，逐步形成了研究生教育管理与服务校院二级管理体制。学校设有学位评定委员会、教学指导委员会、研究生招生工作领导小组、学位授权点评估工作领导小组等工作机构。学院相应成立学位评定分委员会、教授委员会等工作机构。</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学校为研究生的培养提供了完善的管理制度，编辑成册（《福建农林大学研究生教育工作手册》），包括学校章程、学生管理规定、学位授予实施细则、奖学金管理办法、国家助学贷款管理办法、家庭经济困难学生认定和管理办法、勤工助学管理办法、学校外助学金管理办法、学生档案管理规定、参加省级以上各类竞赛及科技创新活动奖励办法等，《手册》于每年新生入学时发放。</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各个领域</w:t>
      </w:r>
      <w:r>
        <w:rPr>
          <w:rFonts w:ascii="Times New Roman" w:hAnsi="Times New Roman" w:eastAsia="仿宋_GB2312" w:cs="Times New Roman"/>
          <w:b w:val="0"/>
          <w:bCs w:val="0"/>
          <w:sz w:val="32"/>
          <w:szCs w:val="32"/>
        </w:rPr>
        <w:t>点配有研究生管理人员，包括副书记、分管副院长、辅导员、教学秘书等，管理研究生教育日常工作。学位点高度重视安全工作，积极响应和配合学校开展安全大检查大整治工作，构建“院党委书记、院长--实验室、教学基地、各科室负责人——各区域安全员”联动安全管理责任体系，明确各级责任人职责。严格执行实验室危险化学品申购、保管和有毒废弃物分类收集处理管理规定流程。2022年，学院党委书记、分管副院长多次深入到各教学、科研实验室开展安全检查，确保实验室安全运行。</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为了帮扶家庭贫困研究生和激励研究生刻苦学习，学校或者二级学院设置国家奖学金，陈徽凤奖学金，严家显奖学金，学业奖学金，优秀研究生学位论文资助基金等。</w:t>
      </w:r>
    </w:p>
    <w:p>
      <w:pPr>
        <w:pStyle w:val="3"/>
        <w:pageBreakBefore w:val="0"/>
        <w:kinsoku/>
        <w:wordWrap/>
        <w:overflowPunct/>
        <w:topLinePunct w:val="0"/>
        <w:autoSpaceDE/>
        <w:autoSpaceDN/>
        <w:bidi w:val="0"/>
        <w:adjustRightInd/>
        <w:snapToGrid/>
        <w:spacing w:before="0" w:after="0" w:line="560" w:lineRule="exact"/>
        <w:ind w:left="482" w:hanging="482"/>
        <w:jc w:val="both"/>
        <w:textAlignment w:val="auto"/>
        <w:rPr>
          <w:b w:val="0"/>
          <w:bCs w:val="0"/>
        </w:rPr>
      </w:pPr>
      <w:bookmarkStart w:id="4" w:name="_Toc102119101"/>
      <w:r>
        <w:rPr>
          <w:b w:val="0"/>
          <w:bCs w:val="0"/>
        </w:rPr>
        <w:t>（三）人才培养</w:t>
      </w:r>
      <w:bookmarkEnd w:id="4"/>
      <w:r>
        <w:rPr>
          <w:b w:val="0"/>
          <w:bCs w:val="0"/>
        </w:rPr>
        <w:t xml:space="preserve"> </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 思想政治教育</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培养方案中有专门的思想政治教育课程，《科研伦理与学术规范》在线课程。</w:t>
      </w:r>
      <w:r>
        <w:rPr>
          <w:rFonts w:ascii="Times New Roman" w:hAnsi="Times New Roman" w:eastAsia="仿宋_GB2312" w:cs="Times New Roman"/>
          <w:b w:val="0"/>
          <w:bCs w:val="0"/>
          <w:sz w:val="32"/>
          <w:szCs w:val="32"/>
        </w:rPr>
        <w:t>2022年以报告会</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学术论坛</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讲座</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课堂等形式进行23场的面向研究生的科学道德和学风建设活动，引导研究生坚定理想信念，立志爱国奋斗，增强社会责任感，树立正确的世界观、人生观、价值观</w:t>
      </w:r>
      <w:r>
        <w:rPr>
          <w:rFonts w:hint="eastAsia"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 师德师风建设</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学位点认真贯彻全国教育大会精神，全面落实研究生导师立德树人职责，以立德树人为根本，以强农兴农为己任，实施师德师风建设工程，严格落实教师成长发展各环节的思想政治培养考察。</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严格师德师风关口把控，在职称评审、人才推荐、评优评先、年度考核、干部选任等方面做好前置考察，严把政治关和师德关，把好学科教师的入口关、考核关、监督关、惩处关。严格执行福建农林大学关于师德师风的相关准则与规定，在师德师风考评上实行“一票否决”制，明确师德师风要求和规范，划清红线、亮明底线、筑牢底线。</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实施导师与学生每月一次的谈心谈话和集中指导，每周一次的“一对一”指导，确保师生联系不断线</w:t>
      </w:r>
      <w:r>
        <w:rPr>
          <w:rFonts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 招生选拔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顺利完成</w:t>
      </w:r>
      <w:r>
        <w:rPr>
          <w:rFonts w:ascii="Times New Roman" w:hAnsi="Times New Roman" w:eastAsia="仿宋_GB2312" w:cs="Times New Roman"/>
          <w:b w:val="0"/>
          <w:bCs w:val="0"/>
          <w:sz w:val="32"/>
          <w:szCs w:val="32"/>
        </w:rPr>
        <w:t>2022年研究生招生计划，共招收硕士生759人；完成了2022年硕导招生资格认定和遴选工作。</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 课程教学</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配齐配强研究生课程的任课教师，同时考虑梯队建设，授课多采用小班制，方式多采用讨论式和引导式。邀请国内外知名教授担任客座教授、企业精英兼任研究生校外导师，推进课程教学国际化、应用化。</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5. 导师管理</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bookmarkStart w:id="5" w:name="OLE_LINK2"/>
      <w:bookmarkStart w:id="6" w:name="OLE_LINK4"/>
      <w:bookmarkStart w:id="7" w:name="OLE_LINK3"/>
      <w:bookmarkStart w:id="8" w:name="OLE_LINK1"/>
      <w:r>
        <w:rPr>
          <w:rFonts w:hint="eastAsia" w:ascii="Times New Roman" w:hAnsi="Times New Roman" w:eastAsia="仿宋_GB2312" w:cs="Times New Roman"/>
          <w:b w:val="0"/>
          <w:bCs w:val="0"/>
          <w:sz w:val="32"/>
          <w:szCs w:val="32"/>
        </w:rPr>
        <w:t>制定导师岗位聘任办法，强化导师的政治标准和岗位管理，加强师德师风建设，落实导师立德树人第一责任人职责。实行校内理论指导校外实践指导的“双导师”联合培养机制，聘请国内外知识大学教授、科研院所、农业推广部门、政府专家、企业精英等担任校外导师，开设讲座，参与课程教学、协助指导研究生专业实践和学位论文，既加强导师之间的学术交流与合作，又增强了研究生的实践能力。选拔“双师型”导师，进驻行业一线，强化产教融合，与企业骨干组成“导师组”，对接产业转型升级需求，培育导师与学生的行业情怀与责任担当。</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导师实行常态化分类培训，对首次上岗的导师实行全面培训，连续上岗的导师实行定期培导师是研究生思想政治教育的首要责任人，是研究生培养第一责任人，举办了</w:t>
      </w:r>
      <w:r>
        <w:rPr>
          <w:rFonts w:ascii="Times New Roman" w:hAnsi="Times New Roman" w:eastAsia="仿宋_GB2312" w:cs="Times New Roman"/>
          <w:b w:val="0"/>
          <w:bCs w:val="0"/>
          <w:sz w:val="32"/>
          <w:szCs w:val="32"/>
        </w:rPr>
        <w:t>15场导师培训会。平时在导师群进行学科分类提醒，研究生防诈骗提醒，研究生心理问题提醒。</w:t>
      </w:r>
      <w:bookmarkEnd w:id="5"/>
      <w:bookmarkEnd w:id="6"/>
      <w:bookmarkEnd w:id="7"/>
      <w:bookmarkEnd w:id="8"/>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6. 学术训练或实习实践</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为激发研究生科学研究热情、营造良好的科研氛围，学位点举办了如“菁禾杯</w:t>
      </w:r>
      <w:r>
        <w:rPr>
          <w:rFonts w:ascii="Times New Roman" w:hAnsi="Times New Roman" w:eastAsia="仿宋_GB2312" w:cs="Times New Roman"/>
          <w:b w:val="0"/>
          <w:bCs w:val="0"/>
          <w:sz w:val="32"/>
          <w:szCs w:val="32"/>
        </w:rPr>
        <w:t>-科研之星”</w:t>
      </w:r>
      <w:r>
        <w:rPr>
          <w:rFonts w:hint="eastAsia" w:ascii="Times New Roman" w:hAnsi="Times New Roman" w:eastAsia="仿宋_GB2312" w:cs="Times New Roman"/>
          <w:b w:val="0"/>
          <w:bCs w:val="0"/>
          <w:sz w:val="32"/>
          <w:szCs w:val="32"/>
        </w:rPr>
        <w:t>、“海峡两岸植物保护论坛暨青年学术研讨会”</w:t>
      </w:r>
      <w:r>
        <w:rPr>
          <w:rFonts w:ascii="Times New Roman" w:hAnsi="Times New Roman" w:eastAsia="仿宋_GB2312" w:cs="Times New Roman"/>
          <w:b w:val="0"/>
          <w:bCs w:val="0"/>
          <w:sz w:val="32"/>
          <w:szCs w:val="32"/>
        </w:rPr>
        <w:t>等学术竞赛，旨在激发全体研究生科学研究热情、提高研究生的科研素质，搭建研究生与老师交流科研、学术的平台，营造良好的科研氛围，为推动学校高水平大学建设作贡献。</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农业硕士专业学位研究生在校期间均有参加专业实践教学环节，以培养其实际工作能力。各领域的专业实践为期</w:t>
      </w:r>
      <w:r>
        <w:rPr>
          <w:rFonts w:ascii="Times New Roman" w:hAnsi="Times New Roman" w:eastAsia="仿宋_GB2312" w:cs="Times New Roman"/>
          <w:b w:val="0"/>
          <w:bCs w:val="0"/>
          <w:sz w:val="32"/>
          <w:szCs w:val="32"/>
        </w:rPr>
        <w:t xml:space="preserve"> 6-12个月，为必修环节，共5-6学分。学位点拥有100多个长效稳定的实践基地，其中33个已签订了正式协议，2022年63人次。</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学生在实践过程中获得系列代表性成果，如</w:t>
      </w:r>
      <w:r>
        <w:rPr>
          <w:rFonts w:ascii="Times New Roman" w:hAnsi="Times New Roman" w:eastAsia="仿宋_GB2312" w:cs="Times New Roman"/>
          <w:b w:val="0"/>
          <w:bCs w:val="0"/>
          <w:sz w:val="32"/>
          <w:szCs w:val="32"/>
        </w:rPr>
        <w:t>2022 年度陈凤平和祝雯老师指导的《马铃薯早/晚疫病菌的抗药性研究》获得“中国研究生乡村振兴科技强农+创新大赛“苏研杯”第三届科技作品竞赛”二等奖、2022 年度马昌城、刘有、雷仁清、孔鲲鹏、纪宗君同学在中国研究生乡村振兴科技强农＋创新大赛“拼多多”杯第一届科技小院大赛总决赛中荣获特等奖等</w:t>
      </w:r>
      <w:r>
        <w:rPr>
          <w:rFonts w:hint="eastAsia" w:ascii="Times New Roman" w:hAnsi="Times New Roman" w:eastAsia="仿宋_GB2312" w:cs="Times New Roman"/>
          <w:b w:val="0"/>
          <w:bCs w:val="0"/>
          <w:sz w:val="32"/>
          <w:szCs w:val="32"/>
        </w:rPr>
        <w:t>。</w:t>
      </w:r>
    </w:p>
    <w:p>
      <w:pPr>
        <w:pStyle w:val="3"/>
        <w:pageBreakBefore w:val="0"/>
        <w:kinsoku/>
        <w:wordWrap/>
        <w:overflowPunct/>
        <w:topLinePunct w:val="0"/>
        <w:autoSpaceDE/>
        <w:autoSpaceDN/>
        <w:bidi w:val="0"/>
        <w:adjustRightInd/>
        <w:snapToGrid/>
        <w:spacing w:before="0" w:after="0" w:line="560" w:lineRule="exact"/>
        <w:ind w:left="482" w:hanging="482"/>
        <w:jc w:val="both"/>
        <w:textAlignment w:val="auto"/>
        <w:rPr>
          <w:b w:val="0"/>
          <w:bCs w:val="0"/>
        </w:rPr>
      </w:pPr>
      <w:bookmarkStart w:id="9" w:name="_Toc102119102"/>
      <w:r>
        <w:rPr>
          <w:b w:val="0"/>
          <w:bCs w:val="0"/>
        </w:rPr>
        <w:t>（四）质量监控</w:t>
      </w:r>
      <w:bookmarkEnd w:id="9"/>
      <w:r>
        <w:rPr>
          <w:b w:val="0"/>
          <w:bCs w:val="0"/>
        </w:rPr>
        <w:t xml:space="preserve"> </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 建立校院两级教学质量保障模式，制定教学环节质量评价标准</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构建校院两级教学质量保障管理模式，明确各自在教育教学质量保障中的职责，执行日常与定期相结合的教学质量监控制度，健全教学信息反馈系统，实行教学质量全过程的规范管理和教学质量的持续改进。</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根据学校相关制度，在培养方案的制定与修订、教师任课资格及条件认定、课程教学大纲编制、课程教学计划等各教学环节中，提出了明确的质量要求，制定较合理的质量评价标准</w:t>
      </w:r>
      <w:r>
        <w:rPr>
          <w:rFonts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 分流淘汰</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严格开题论证及中期考核过程，加强学位论文和学位授予管理。第三学期开展开题论证和中期考核工作。经预开题和正式开题环节，广泛征求同行专家的意见，博采众长，开阔视野，拓宽思路，提高选题水平。严格把好论文开题质量关，以保证研究生的培养质量。中期考核工作对研究生的全面情况进行总结分析，做出综合评价，不合格者进行分流淘汰。</w:t>
      </w:r>
      <w:r>
        <w:rPr>
          <w:rFonts w:ascii="Times New Roman" w:hAnsi="Times New Roman" w:eastAsia="仿宋_GB2312" w:cs="Times New Roman"/>
          <w:b w:val="0"/>
          <w:bCs w:val="0"/>
          <w:sz w:val="32"/>
          <w:szCs w:val="32"/>
        </w:rPr>
        <w:t>2022年，组织完成了2021级硕士研究生的开题论证等工作。</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 学位论文</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严格执行学位论文答辩程序，答辩资格经学院初审、研究生院复审，审核通过方可进行学位论文检测、送审。硕士论文均为盲审，评审合格者进入答辩环节，答辩委员会委员听取导师及评阅人的综合评语，评议学位论文水平及答辩情况。对是否同意毕业、是否同意授予学位进行表决，并形成学位论文答辩决议。</w:t>
      </w:r>
      <w:r>
        <w:rPr>
          <w:rFonts w:ascii="Times New Roman" w:hAnsi="Times New Roman" w:eastAsia="仿宋_GB2312" w:cs="Times New Roman"/>
          <w:b w:val="0"/>
          <w:bCs w:val="0"/>
          <w:sz w:val="32"/>
          <w:szCs w:val="32"/>
        </w:rPr>
        <w:t>2022年，开展研究生学位论文答辩会多场，硕士毕业授予硕士学位386人。</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 学风教育</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以课程、座谈会、报告会等形式进行多场学风教育活动，鼓励研究生们遵守科学道德、追求学术卓越、崇尚良好学风。</w:t>
      </w:r>
      <w:r>
        <w:rPr>
          <w:rFonts w:ascii="Times New Roman" w:hAnsi="Times New Roman" w:eastAsia="仿宋_GB2312" w:cs="Times New Roman"/>
          <w:b w:val="0"/>
          <w:bCs w:val="0"/>
          <w:sz w:val="32"/>
          <w:szCs w:val="32"/>
        </w:rPr>
        <w:t>2022年9月，组织了关于维护科学道德，自觉遵守学术规范研讨会，强调了对学术不端“零容忍”的态度，告诫同学们在今后的学习生活中要坚决抵制和预防学术不端的行为，坚守科研人底线，树立正确的科研价值观。2022年12月，举办研究生考试诚信与科研诚信会议，要求研究生们树道德之新风，立诚信之根基，努力营造公平、公正的考试环境，并从科研诚信与学术不端的定义、学术不端的主要表现和类型、产生原因及案例分析、法令法规、政策</w:t>
      </w:r>
      <w:r>
        <w:rPr>
          <w:rFonts w:hint="eastAsia" w:ascii="Times New Roman" w:hAnsi="Times New Roman" w:eastAsia="仿宋_GB2312" w:cs="Times New Roman"/>
          <w:b w:val="0"/>
          <w:bCs w:val="0"/>
          <w:sz w:val="32"/>
          <w:szCs w:val="32"/>
        </w:rPr>
        <w:t>解读、行为规范和要求等方面进行详细讲解。</w:t>
      </w:r>
    </w:p>
    <w:p>
      <w:pPr>
        <w:pStyle w:val="2"/>
        <w:pageBreakBefore w:val="0"/>
        <w:kinsoku/>
        <w:wordWrap/>
        <w:overflowPunct/>
        <w:topLinePunct w:val="0"/>
        <w:autoSpaceDE/>
        <w:autoSpaceDN/>
        <w:bidi w:val="0"/>
        <w:adjustRightInd/>
        <w:snapToGrid/>
        <w:spacing w:before="0" w:after="0" w:line="560" w:lineRule="exact"/>
        <w:jc w:val="both"/>
        <w:textAlignment w:val="auto"/>
        <w:rPr>
          <w:b w:val="0"/>
          <w:bCs w:val="0"/>
        </w:rPr>
      </w:pPr>
      <w:bookmarkStart w:id="10" w:name="_Toc102119103"/>
      <w:r>
        <w:rPr>
          <w:b w:val="0"/>
          <w:bCs w:val="0"/>
        </w:rPr>
        <w:t>二、工作特色与成效</w:t>
      </w:r>
      <w:bookmarkEnd w:id="10"/>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 xml:space="preserve"> 农业硕士</w:t>
      </w:r>
      <w:r>
        <w:rPr>
          <w:rFonts w:ascii="Times New Roman" w:hAnsi="Times New Roman" w:eastAsia="仿宋_GB2312" w:cs="Times New Roman"/>
          <w:b w:val="0"/>
          <w:bCs w:val="0"/>
          <w:sz w:val="32"/>
          <w:szCs w:val="32"/>
        </w:rPr>
        <w:t>2022版研究生培养方案修订工作顺利完成</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培养方案坚持育人为本、“五育并举”全面发展的教育理念，围绕本学科人才培养目标，构建以学生为中心的培养体系，促进学生全面成长发展。</w:t>
      </w:r>
      <w:r>
        <w:rPr>
          <w:rFonts w:ascii="Times New Roman" w:hAnsi="Times New Roman" w:eastAsia="仿宋_GB2312" w:cs="Times New Roman"/>
          <w:b w:val="0"/>
          <w:bCs w:val="0"/>
          <w:sz w:val="32"/>
          <w:szCs w:val="32"/>
        </w:rPr>
        <w:t>2022版的农业硕士培养方案增加了美育、体育及心理健康等方面的内容，并对授课人员梯队进行了梳理完善。</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rPr>
        <w:t xml:space="preserve"> 扎实</w:t>
      </w:r>
      <w:r>
        <w:rPr>
          <w:rFonts w:ascii="Times New Roman" w:hAnsi="Times New Roman" w:eastAsia="仿宋_GB2312" w:cs="Times New Roman"/>
          <w:b w:val="0"/>
          <w:bCs w:val="0"/>
          <w:sz w:val="32"/>
          <w:szCs w:val="32"/>
        </w:rPr>
        <w:t>推进</w:t>
      </w:r>
      <w:r>
        <w:rPr>
          <w:rFonts w:hint="eastAsia" w:ascii="Times New Roman" w:hAnsi="Times New Roman" w:eastAsia="仿宋_GB2312" w:cs="Times New Roman"/>
          <w:b w:val="0"/>
          <w:bCs w:val="0"/>
          <w:sz w:val="32"/>
          <w:szCs w:val="32"/>
        </w:rPr>
        <w:t>研究生</w:t>
      </w:r>
      <w:r>
        <w:rPr>
          <w:rFonts w:ascii="Times New Roman" w:hAnsi="Times New Roman" w:eastAsia="仿宋_GB2312" w:cs="Times New Roman"/>
          <w:b w:val="0"/>
          <w:bCs w:val="0"/>
          <w:sz w:val="32"/>
          <w:szCs w:val="32"/>
        </w:rPr>
        <w:t>教学改革</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2022年，农业硕士专业学位点加大投入力度，注重实效，扎实推进研究生教学改革。2022年兰思仁、吴祖建、陈吉龙、陈清西、吴仁烨的《基于乡村振兴战略的数字赋能新农科建设模式探索与实践》荣获省级教学成果奖（福建省）特等奖。2022年庞杰、郑宝东、张宁宁、曾绍校、吴春华、彭丽娟、梁鹏、张怡的《思政引领、科研育人、产教融合“三维耦合”的食品学科研究生培养体系创新与实践》荣获福建省高等教育教学成果奖特等奖。尤民生教授等荣获2022年福建农林大学研究生教学成果奖特等奖。钟凤林教授等荣获2022年福建农林大学研究生教育教</w:t>
      </w:r>
      <w:r>
        <w:rPr>
          <w:rFonts w:hint="eastAsia" w:ascii="Times New Roman" w:hAnsi="Times New Roman" w:eastAsia="仿宋_GB2312" w:cs="Times New Roman"/>
          <w:b w:val="0"/>
          <w:bCs w:val="0"/>
          <w:sz w:val="32"/>
          <w:szCs w:val="32"/>
        </w:rPr>
        <w:t>学成果二等奖。此外，鲁国东教授获</w:t>
      </w:r>
      <w:r>
        <w:rPr>
          <w:rFonts w:ascii="Times New Roman" w:hAnsi="Times New Roman" w:eastAsia="仿宋_GB2312" w:cs="Times New Roman"/>
          <w:b w:val="0"/>
          <w:bCs w:val="0"/>
          <w:sz w:val="32"/>
          <w:szCs w:val="32"/>
        </w:rPr>
        <w:t>2022年福建农林大学研究生教材出版基金拟立项项目，侯有明教授获2022年福建农林大学专业学位研究生课程教学案例库拟立项项目，多门课程入选福建农林大学研究生课程思政示范课项目</w:t>
      </w:r>
      <w:r>
        <w:rPr>
          <w:rFonts w:hint="eastAsia"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rPr>
        <w:t xml:space="preserve"> 多措并举提高研究生实践能力</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2022年度通过提高实践基地质量、组织多场专业实践活动等方式切实提高研究生的实践能力。本年度现有实践基地的质量有了显著的提升，如“福建仙游茄果类蔬菜科技小院” 入选2022年度“福建省科协科技小院”和“中国农技协科技小院”名单，“福建连江海带科技小院”入选2022年度福建省优秀科技小院，“福建福鼎鲈鱼科技小院”和“福建连城铁皮石斛科技小院”入选福建省科学技术协会2022年“福建省科协科技小院”和“中国农技协科技小院”名单。本年度组织多场专业实践活动。如2022年7月组织了2021级农艺与种业领域（园艺方向）</w:t>
      </w:r>
      <w:r>
        <w:rPr>
          <w:rFonts w:hint="eastAsia" w:ascii="Times New Roman" w:hAnsi="Times New Roman" w:eastAsia="仿宋_GB2312" w:cs="Times New Roman"/>
          <w:b w:val="0"/>
          <w:bCs w:val="0"/>
          <w:sz w:val="32"/>
          <w:szCs w:val="32"/>
        </w:rPr>
        <w:t>研究生的专业实践活动，研究生到各个专业实践基地，与校外导师以及依托单位共同制定专业实践计划，培养学生的团队精神和与人合作的能力，培养新一代掌握农业新科技、懂管理、有创新的专业人员。</w:t>
      </w:r>
      <w:r>
        <w:rPr>
          <w:rFonts w:ascii="Times New Roman" w:hAnsi="Times New Roman" w:eastAsia="仿宋_GB2312" w:cs="Times New Roman"/>
          <w:b w:val="0"/>
          <w:bCs w:val="0"/>
          <w:sz w:val="32"/>
          <w:szCs w:val="32"/>
        </w:rPr>
        <w:t>2022年7月20日，资源利用与植物保护领域研究生在尤溪红茶科技小院开展“认领一亩田”活动，进一步提高了研究生的实践能力</w:t>
      </w:r>
      <w:r>
        <w:rPr>
          <w:rFonts w:hint="eastAsia"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4. 研究生培养质量不断提升</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2022年，通过一系列举措不断提升了农业硕士研究生的培养质量。本年度硕士研究生王乐、赵怡娇、上官华媛、林以琳和黄翔的论文获得2021年福建省优秀专业学位硕士学位论文</w:t>
      </w:r>
      <w:r>
        <w:rPr>
          <w:rFonts w:hint="eastAsia"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5. 研究生招生宣传工作采用新形式</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联合中国教育在线、掌上考研举办了</w:t>
      </w:r>
      <w:r>
        <w:rPr>
          <w:rFonts w:hint="eastAsia" w:ascii="Times New Roman" w:hAnsi="Times New Roman" w:eastAsia="仿宋_GB2312" w:cs="Times New Roman"/>
          <w:b w:val="0"/>
          <w:bCs w:val="0"/>
          <w:sz w:val="32"/>
          <w:szCs w:val="32"/>
        </w:rPr>
        <w:t>多场</w:t>
      </w:r>
      <w:r>
        <w:rPr>
          <w:rFonts w:ascii="Times New Roman" w:hAnsi="Times New Roman" w:eastAsia="仿宋_GB2312" w:cs="Times New Roman"/>
          <w:b w:val="0"/>
          <w:bCs w:val="0"/>
          <w:sz w:val="32"/>
          <w:szCs w:val="32"/>
        </w:rPr>
        <w:t>研究生招生线上宣讲会。携手学习强国、夸克、支付宝、网易有道、扇贝等互联网平台，将直播信息全网覆盖，让考生方便获取直播活动信息，直播宣讲会在招生单位和考生之间建立了高效的信息沟通渠道，达到了良好的招生宣传效果。</w:t>
      </w:r>
    </w:p>
    <w:p>
      <w:pPr>
        <w:pStyle w:val="2"/>
        <w:pageBreakBefore w:val="0"/>
        <w:kinsoku/>
        <w:wordWrap/>
        <w:overflowPunct/>
        <w:topLinePunct w:val="0"/>
        <w:autoSpaceDE/>
        <w:autoSpaceDN/>
        <w:bidi w:val="0"/>
        <w:adjustRightInd/>
        <w:snapToGrid/>
        <w:spacing w:before="0" w:after="0" w:line="560" w:lineRule="exact"/>
        <w:jc w:val="both"/>
        <w:textAlignment w:val="auto"/>
        <w:rPr>
          <w:b w:val="0"/>
          <w:bCs w:val="0"/>
        </w:rPr>
      </w:pPr>
      <w:bookmarkStart w:id="11" w:name="_Toc102119104"/>
      <w:r>
        <w:rPr>
          <w:b w:val="0"/>
          <w:bCs w:val="0"/>
        </w:rPr>
        <w:t>三、学位点建设存在的问题</w:t>
      </w:r>
      <w:bookmarkEnd w:id="11"/>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 主编或参编研究生教材没有</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 省级以上研究生一流课程偏少</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 省级以上研究生获奖偏少</w:t>
      </w:r>
    </w:p>
    <w:p>
      <w:pPr>
        <w:pStyle w:val="2"/>
        <w:pageBreakBefore w:val="0"/>
        <w:kinsoku/>
        <w:wordWrap/>
        <w:overflowPunct/>
        <w:topLinePunct w:val="0"/>
        <w:autoSpaceDE/>
        <w:autoSpaceDN/>
        <w:bidi w:val="0"/>
        <w:adjustRightInd/>
        <w:snapToGrid/>
        <w:spacing w:before="0" w:after="0" w:line="560" w:lineRule="exact"/>
        <w:jc w:val="both"/>
        <w:textAlignment w:val="auto"/>
        <w:rPr>
          <w:b w:val="0"/>
          <w:bCs w:val="0"/>
        </w:rPr>
      </w:pPr>
      <w:bookmarkStart w:id="12" w:name="_Toc102119105"/>
      <w:r>
        <w:rPr>
          <w:b w:val="0"/>
          <w:bCs w:val="0"/>
        </w:rPr>
        <w:t>四、下一年度建设计划</w:t>
      </w:r>
      <w:bookmarkEnd w:id="12"/>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针对学位点建设存在的问题，提出下一年度建设改进计划，包括发展目标和保障措施。</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 继续申报研究生教改项目</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 推进研究生教材主编和参编工作</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宋体" w:cs="Times New Roman"/>
          <w:b w:val="0"/>
          <w:bCs w:val="0"/>
          <w:sz w:val="32"/>
          <w:szCs w:val="32"/>
        </w:rPr>
      </w:pPr>
      <w:r>
        <w:rPr>
          <w:rFonts w:ascii="Times New Roman" w:hAnsi="Times New Roman" w:eastAsia="仿宋_GB2312" w:cs="Times New Roman"/>
          <w:b w:val="0"/>
          <w:bCs w:val="0"/>
          <w:sz w:val="32"/>
          <w:szCs w:val="32"/>
        </w:rPr>
        <w:t>3. 挖掘研究生成果参加省级以上大赛</w:t>
      </w:r>
      <w:bookmarkEnd w:id="1"/>
    </w:p>
    <w:sectPr>
      <w:type w:val="continuous"/>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8333"/>
      <w:docPartObj>
        <w:docPartGallery w:val="autotext"/>
      </w:docPartObj>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F2C99"/>
    <w:multiLevelType w:val="multilevel"/>
    <w:tmpl w:val="163F2C99"/>
    <w:lvl w:ilvl="0" w:tentative="0">
      <w:start w:val="1"/>
      <w:numFmt w:val="none"/>
      <w:pStyle w:val="2"/>
      <w:lvlText w:val="%1"/>
      <w:lvlJc w:val="left"/>
      <w:pPr>
        <w:ind w:left="425" w:hanging="425"/>
      </w:pPr>
      <w:rPr>
        <w:rFonts w:hint="eastAsia"/>
      </w:rPr>
    </w:lvl>
    <w:lvl w:ilvl="1" w:tentative="0">
      <w:start w:val="1"/>
      <w:numFmt w:val="none"/>
      <w:pStyle w:val="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Q3NjQ3MzVlZTFkZDMxODdhNWM1YWE2YmY1ODgifQ=="/>
  </w:docVars>
  <w:rsids>
    <w:rsidRoot w:val="00445F40"/>
    <w:rsid w:val="000004A4"/>
    <w:rsid w:val="000012CD"/>
    <w:rsid w:val="00025558"/>
    <w:rsid w:val="000402D1"/>
    <w:rsid w:val="00042EE3"/>
    <w:rsid w:val="00050E07"/>
    <w:rsid w:val="0005218F"/>
    <w:rsid w:val="00060DDD"/>
    <w:rsid w:val="00063A86"/>
    <w:rsid w:val="00070C55"/>
    <w:rsid w:val="0007138B"/>
    <w:rsid w:val="0007599B"/>
    <w:rsid w:val="00086F3F"/>
    <w:rsid w:val="00091C56"/>
    <w:rsid w:val="000A2B22"/>
    <w:rsid w:val="000A3C3E"/>
    <w:rsid w:val="000B34A4"/>
    <w:rsid w:val="000B3E86"/>
    <w:rsid w:val="000C12B6"/>
    <w:rsid w:val="000C3D96"/>
    <w:rsid w:val="000E084C"/>
    <w:rsid w:val="000E3284"/>
    <w:rsid w:val="000E453B"/>
    <w:rsid w:val="000E7370"/>
    <w:rsid w:val="000E7D09"/>
    <w:rsid w:val="000F7413"/>
    <w:rsid w:val="001235EB"/>
    <w:rsid w:val="001264E8"/>
    <w:rsid w:val="00130E7D"/>
    <w:rsid w:val="001354CF"/>
    <w:rsid w:val="001553CF"/>
    <w:rsid w:val="00160550"/>
    <w:rsid w:val="00160700"/>
    <w:rsid w:val="00167698"/>
    <w:rsid w:val="0017028B"/>
    <w:rsid w:val="00170D4E"/>
    <w:rsid w:val="001A2112"/>
    <w:rsid w:val="001D12A3"/>
    <w:rsid w:val="001D1B17"/>
    <w:rsid w:val="001D7094"/>
    <w:rsid w:val="001E7BB3"/>
    <w:rsid w:val="001F37AF"/>
    <w:rsid w:val="002144D0"/>
    <w:rsid w:val="00226EE6"/>
    <w:rsid w:val="00230168"/>
    <w:rsid w:val="002320C6"/>
    <w:rsid w:val="0024041C"/>
    <w:rsid w:val="002507C1"/>
    <w:rsid w:val="00281012"/>
    <w:rsid w:val="00284C08"/>
    <w:rsid w:val="002979A7"/>
    <w:rsid w:val="002B1C4C"/>
    <w:rsid w:val="002B24F8"/>
    <w:rsid w:val="002C35FB"/>
    <w:rsid w:val="00301982"/>
    <w:rsid w:val="003203F0"/>
    <w:rsid w:val="003270E6"/>
    <w:rsid w:val="003361C8"/>
    <w:rsid w:val="00346820"/>
    <w:rsid w:val="00367052"/>
    <w:rsid w:val="0039259D"/>
    <w:rsid w:val="003B24FE"/>
    <w:rsid w:val="003B7A35"/>
    <w:rsid w:val="003C58AF"/>
    <w:rsid w:val="003D1F04"/>
    <w:rsid w:val="003D6BBE"/>
    <w:rsid w:val="003F413D"/>
    <w:rsid w:val="0040128B"/>
    <w:rsid w:val="004354DC"/>
    <w:rsid w:val="004405D6"/>
    <w:rsid w:val="004420C6"/>
    <w:rsid w:val="00442AFE"/>
    <w:rsid w:val="00445F40"/>
    <w:rsid w:val="004C0E41"/>
    <w:rsid w:val="004E2AF5"/>
    <w:rsid w:val="00500A42"/>
    <w:rsid w:val="00504656"/>
    <w:rsid w:val="00511E6C"/>
    <w:rsid w:val="005271A0"/>
    <w:rsid w:val="00541D6E"/>
    <w:rsid w:val="00547A30"/>
    <w:rsid w:val="005805FF"/>
    <w:rsid w:val="00581C19"/>
    <w:rsid w:val="005A1595"/>
    <w:rsid w:val="005A47CC"/>
    <w:rsid w:val="005B0696"/>
    <w:rsid w:val="005B0994"/>
    <w:rsid w:val="005B431C"/>
    <w:rsid w:val="005D4FF8"/>
    <w:rsid w:val="005E381D"/>
    <w:rsid w:val="005F106C"/>
    <w:rsid w:val="006003EC"/>
    <w:rsid w:val="00623620"/>
    <w:rsid w:val="006314B0"/>
    <w:rsid w:val="00636CA2"/>
    <w:rsid w:val="00642901"/>
    <w:rsid w:val="00655248"/>
    <w:rsid w:val="00655A1B"/>
    <w:rsid w:val="00661D64"/>
    <w:rsid w:val="006711CB"/>
    <w:rsid w:val="00682A8E"/>
    <w:rsid w:val="00691670"/>
    <w:rsid w:val="006948C5"/>
    <w:rsid w:val="006B1E27"/>
    <w:rsid w:val="006C0290"/>
    <w:rsid w:val="006D3C4B"/>
    <w:rsid w:val="006D59C9"/>
    <w:rsid w:val="006F1974"/>
    <w:rsid w:val="006F3179"/>
    <w:rsid w:val="00724674"/>
    <w:rsid w:val="007414A1"/>
    <w:rsid w:val="007429F6"/>
    <w:rsid w:val="00746056"/>
    <w:rsid w:val="007526F6"/>
    <w:rsid w:val="0076327B"/>
    <w:rsid w:val="007812CB"/>
    <w:rsid w:val="00783B57"/>
    <w:rsid w:val="007872C2"/>
    <w:rsid w:val="00793153"/>
    <w:rsid w:val="007A6482"/>
    <w:rsid w:val="007D7D4F"/>
    <w:rsid w:val="007E6974"/>
    <w:rsid w:val="007F1911"/>
    <w:rsid w:val="00811E0A"/>
    <w:rsid w:val="00853350"/>
    <w:rsid w:val="00857940"/>
    <w:rsid w:val="008655BC"/>
    <w:rsid w:val="00870DE9"/>
    <w:rsid w:val="008A262D"/>
    <w:rsid w:val="008A27B6"/>
    <w:rsid w:val="008B3A4D"/>
    <w:rsid w:val="008B73E7"/>
    <w:rsid w:val="008C3A3A"/>
    <w:rsid w:val="008D12AA"/>
    <w:rsid w:val="008E0DCF"/>
    <w:rsid w:val="008E4C3D"/>
    <w:rsid w:val="008E66FD"/>
    <w:rsid w:val="008E6EC5"/>
    <w:rsid w:val="008F2F94"/>
    <w:rsid w:val="00931193"/>
    <w:rsid w:val="009376CD"/>
    <w:rsid w:val="0096646D"/>
    <w:rsid w:val="00967CA0"/>
    <w:rsid w:val="009868EE"/>
    <w:rsid w:val="009C073C"/>
    <w:rsid w:val="009C30E3"/>
    <w:rsid w:val="009D1400"/>
    <w:rsid w:val="009D4FDC"/>
    <w:rsid w:val="009E483D"/>
    <w:rsid w:val="00A15FBF"/>
    <w:rsid w:val="00A250F1"/>
    <w:rsid w:val="00A265CD"/>
    <w:rsid w:val="00A764AA"/>
    <w:rsid w:val="00A86C78"/>
    <w:rsid w:val="00A96079"/>
    <w:rsid w:val="00AC4872"/>
    <w:rsid w:val="00AE1CB2"/>
    <w:rsid w:val="00AF57C9"/>
    <w:rsid w:val="00B16FE2"/>
    <w:rsid w:val="00B21319"/>
    <w:rsid w:val="00B36A04"/>
    <w:rsid w:val="00B473D2"/>
    <w:rsid w:val="00B548B8"/>
    <w:rsid w:val="00B70C2D"/>
    <w:rsid w:val="00B87113"/>
    <w:rsid w:val="00B919A2"/>
    <w:rsid w:val="00BA603C"/>
    <w:rsid w:val="00BA6F62"/>
    <w:rsid w:val="00BB08FF"/>
    <w:rsid w:val="00BB3EF8"/>
    <w:rsid w:val="00BB6AC8"/>
    <w:rsid w:val="00BC45A8"/>
    <w:rsid w:val="00BF0E65"/>
    <w:rsid w:val="00C04C1A"/>
    <w:rsid w:val="00C12CB7"/>
    <w:rsid w:val="00C1432F"/>
    <w:rsid w:val="00C1688E"/>
    <w:rsid w:val="00C31776"/>
    <w:rsid w:val="00C401DC"/>
    <w:rsid w:val="00C45F3D"/>
    <w:rsid w:val="00C46E12"/>
    <w:rsid w:val="00C513F6"/>
    <w:rsid w:val="00C55922"/>
    <w:rsid w:val="00CA08B5"/>
    <w:rsid w:val="00CA6898"/>
    <w:rsid w:val="00CB38D8"/>
    <w:rsid w:val="00CC373C"/>
    <w:rsid w:val="00CD3283"/>
    <w:rsid w:val="00CF78D2"/>
    <w:rsid w:val="00D14452"/>
    <w:rsid w:val="00D17BE5"/>
    <w:rsid w:val="00D200D6"/>
    <w:rsid w:val="00D221B7"/>
    <w:rsid w:val="00D34A82"/>
    <w:rsid w:val="00D46B42"/>
    <w:rsid w:val="00D51EFE"/>
    <w:rsid w:val="00D61693"/>
    <w:rsid w:val="00D65483"/>
    <w:rsid w:val="00D76D63"/>
    <w:rsid w:val="00D80205"/>
    <w:rsid w:val="00DB40DB"/>
    <w:rsid w:val="00DB734C"/>
    <w:rsid w:val="00DD2B9B"/>
    <w:rsid w:val="00DD2EDA"/>
    <w:rsid w:val="00DD3383"/>
    <w:rsid w:val="00DD38CA"/>
    <w:rsid w:val="00DD405A"/>
    <w:rsid w:val="00DF0831"/>
    <w:rsid w:val="00E003DE"/>
    <w:rsid w:val="00E074E0"/>
    <w:rsid w:val="00E12BD3"/>
    <w:rsid w:val="00E23A5C"/>
    <w:rsid w:val="00E23D67"/>
    <w:rsid w:val="00E36E26"/>
    <w:rsid w:val="00E42A9A"/>
    <w:rsid w:val="00E43DBD"/>
    <w:rsid w:val="00E52CB8"/>
    <w:rsid w:val="00E53008"/>
    <w:rsid w:val="00E54BA6"/>
    <w:rsid w:val="00E62D8E"/>
    <w:rsid w:val="00E751BD"/>
    <w:rsid w:val="00E7603A"/>
    <w:rsid w:val="00E879EA"/>
    <w:rsid w:val="00EE0C28"/>
    <w:rsid w:val="00EF1E63"/>
    <w:rsid w:val="00F13349"/>
    <w:rsid w:val="00F3161B"/>
    <w:rsid w:val="00F31A68"/>
    <w:rsid w:val="00F525F2"/>
    <w:rsid w:val="00F52FEB"/>
    <w:rsid w:val="00F642E4"/>
    <w:rsid w:val="00F73D0F"/>
    <w:rsid w:val="00F87CFC"/>
    <w:rsid w:val="00F87FE9"/>
    <w:rsid w:val="00F90D7E"/>
    <w:rsid w:val="00FA081D"/>
    <w:rsid w:val="00FA76CA"/>
    <w:rsid w:val="00FB2B29"/>
    <w:rsid w:val="00FC0F78"/>
    <w:rsid w:val="00FC4255"/>
    <w:rsid w:val="00FE18B8"/>
    <w:rsid w:val="00FE1D55"/>
    <w:rsid w:val="00FF5409"/>
    <w:rsid w:val="0D0429D6"/>
    <w:rsid w:val="138240CB"/>
    <w:rsid w:val="3AF37A62"/>
    <w:rsid w:val="41E45BC6"/>
    <w:rsid w:val="5FDB6A34"/>
    <w:rsid w:val="610B759B"/>
    <w:rsid w:val="65E01E64"/>
    <w:rsid w:val="682542E8"/>
    <w:rsid w:val="791E1719"/>
    <w:rsid w:val="7CB9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9"/>
    <w:qFormat/>
    <w:uiPriority w:val="9"/>
    <w:pPr>
      <w:keepNext/>
      <w:keepLines/>
      <w:numPr>
        <w:ilvl w:val="0"/>
        <w:numId w:val="1"/>
      </w:numPr>
      <w:spacing w:before="340" w:after="330" w:line="578" w:lineRule="auto"/>
      <w:ind w:left="567" w:hanging="567"/>
      <w:outlineLvl w:val="0"/>
    </w:pPr>
    <w:rPr>
      <w:rFonts w:eastAsia="黑体" w:asciiTheme="minorHAnsi" w:hAnsiTheme="minorHAnsi" w:cstheme="minorBidi"/>
      <w:b/>
      <w:bCs/>
      <w:kern w:val="44"/>
      <w:sz w:val="32"/>
      <w:szCs w:val="44"/>
      <w:lang w:val="en-US" w:eastAsia="zh-CN" w:bidi="ar-SA"/>
    </w:rPr>
  </w:style>
  <w:style w:type="paragraph" w:styleId="3">
    <w:name w:val="heading 2"/>
    <w:next w:val="1"/>
    <w:link w:val="21"/>
    <w:unhideWhenUsed/>
    <w:qFormat/>
    <w:uiPriority w:val="9"/>
    <w:pPr>
      <w:keepNext/>
      <w:keepLines/>
      <w:numPr>
        <w:ilvl w:val="1"/>
        <w:numId w:val="1"/>
      </w:numPr>
      <w:spacing w:before="260" w:after="260" w:line="578" w:lineRule="auto"/>
      <w:ind w:left="575" w:hanging="150" w:hangingChars="150"/>
      <w:outlineLvl w:val="1"/>
    </w:pPr>
    <w:rPr>
      <w:rFonts w:eastAsia="楷体GB2312" w:asciiTheme="majorHAnsi" w:hAnsiTheme="majorHAnsi" w:cstheme="majorBidi"/>
      <w:b/>
      <w:bCs/>
      <w:kern w:val="2"/>
      <w:sz w:val="32"/>
      <w:szCs w:val="32"/>
      <w:lang w:val="en-US" w:eastAsia="zh-CN" w:bidi="ar-SA"/>
    </w:rPr>
  </w:style>
  <w:style w:type="paragraph" w:styleId="4">
    <w:name w:val="heading 3"/>
    <w:basedOn w:val="1"/>
    <w:next w:val="1"/>
    <w:link w:val="22"/>
    <w:unhideWhenUsed/>
    <w:qFormat/>
    <w:uiPriority w:val="9"/>
    <w:pPr>
      <w:keepNext/>
      <w:keepLines/>
      <w:spacing w:before="260" w:after="260" w:line="416" w:lineRule="auto"/>
      <w:outlineLvl w:val="2"/>
    </w:pPr>
    <w:rPr>
      <w:rFonts w:eastAsia="仿宋"/>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Date"/>
    <w:basedOn w:val="1"/>
    <w:next w:val="1"/>
    <w:link w:val="25"/>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9060"/>
      </w:tabs>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character" w:styleId="14">
    <w:name w:val="line number"/>
    <w:basedOn w:val="13"/>
    <w:semiHidden/>
    <w:unhideWhenUsed/>
    <w:qFormat/>
    <w:uiPriority w:val="99"/>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批注框文本 字符"/>
    <w:basedOn w:val="13"/>
    <w:link w:val="7"/>
    <w:semiHidden/>
    <w:qFormat/>
    <w:uiPriority w:val="99"/>
    <w:rPr>
      <w:sz w:val="18"/>
      <w:szCs w:val="18"/>
    </w:rPr>
  </w:style>
  <w:style w:type="character" w:customStyle="1" w:styleId="19">
    <w:name w:val="标题 1 字符"/>
    <w:basedOn w:val="13"/>
    <w:link w:val="2"/>
    <w:qFormat/>
    <w:uiPriority w:val="9"/>
    <w:rPr>
      <w:rFonts w:eastAsia="黑体"/>
      <w:b/>
      <w:bCs/>
      <w:kern w:val="44"/>
      <w:sz w:val="32"/>
      <w:szCs w:val="44"/>
    </w:rPr>
  </w:style>
  <w:style w:type="paragraph" w:customStyle="1" w:styleId="20">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21">
    <w:name w:val="标题 2 字符"/>
    <w:basedOn w:val="13"/>
    <w:link w:val="3"/>
    <w:qFormat/>
    <w:uiPriority w:val="9"/>
    <w:rPr>
      <w:rFonts w:eastAsia="楷体GB2312" w:asciiTheme="majorHAnsi" w:hAnsiTheme="majorHAnsi" w:cstheme="majorBidi"/>
      <w:b/>
      <w:bCs/>
      <w:sz w:val="32"/>
      <w:szCs w:val="32"/>
    </w:rPr>
  </w:style>
  <w:style w:type="character" w:customStyle="1" w:styleId="22">
    <w:name w:val="标题 3 字符"/>
    <w:basedOn w:val="13"/>
    <w:link w:val="4"/>
    <w:qFormat/>
    <w:uiPriority w:val="9"/>
    <w:rPr>
      <w:rFonts w:eastAsia="仿宋"/>
      <w:b/>
      <w:bCs/>
      <w:sz w:val="32"/>
      <w:szCs w:val="32"/>
    </w:rPr>
  </w:style>
  <w:style w:type="paragraph" w:styleId="23">
    <w:name w:val="List Paragraph"/>
    <w:basedOn w:val="1"/>
    <w:qFormat/>
    <w:uiPriority w:val="34"/>
    <w:pPr>
      <w:ind w:firstLine="420" w:firstLineChars="200"/>
    </w:p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日期 字符"/>
    <w:basedOn w:val="13"/>
    <w:link w:val="6"/>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BA5FE-A0F5-4837-9522-BF7B971C4FA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5432</Words>
  <Characters>5619</Characters>
  <Lines>45</Lines>
  <Paragraphs>12</Paragraphs>
  <TotalTime>605</TotalTime>
  <ScaleCrop>false</ScaleCrop>
  <LinksUpToDate>false</LinksUpToDate>
  <CharactersWithSpaces>5759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2022-01-05T07:52:00Z</dcterms:created>
  <dc:creator>LT</dc:creator>
  <cp:lastModifiedBy>Administrator</cp:lastModifiedBy>
  <dcterms:modified xsi:type="dcterms:W3CDTF">2023-04-07T01:41:53Z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C4F1EA078DAB4324B7F46DC674B435FA</vt:lpwstr>
  </property>
</Properties>
</file>