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48"/>
          <w:szCs w:val="56"/>
          <w:lang w:val="en-US" w:eastAsia="zh-CN"/>
        </w:rPr>
      </w:pPr>
      <w:r>
        <w:rPr>
          <w:rFonts w:hint="default" w:ascii="Times New Roman" w:hAnsi="Times New Roman" w:eastAsia="黑体" w:cs="Times New Roman"/>
          <w:sz w:val="48"/>
          <w:szCs w:val="56"/>
          <w:lang w:val="en-US" w:eastAsia="zh-CN"/>
        </w:rPr>
        <w:t xml:space="preserve">                                                              </w:t>
      </w:r>
    </w:p>
    <w:p>
      <w:pPr>
        <w:rPr>
          <w:rFonts w:hint="default" w:ascii="Times New Roman" w:hAnsi="Times New Roman" w:eastAsia="黑体" w:cs="Times New Roman"/>
          <w:sz w:val="48"/>
          <w:szCs w:val="56"/>
        </w:rPr>
      </w:pPr>
    </w:p>
    <w:p>
      <w:pPr>
        <w:rPr>
          <w:rFonts w:hint="default" w:ascii="Times New Roman" w:hAnsi="Times New Roman" w:eastAsia="黑体" w:cs="Times New Roman"/>
          <w:sz w:val="48"/>
          <w:szCs w:val="56"/>
        </w:rPr>
      </w:pPr>
    </w:p>
    <w:p>
      <w:pPr>
        <w:ind w:firstLine="522" w:firstLineChars="100"/>
        <w:jc w:val="center"/>
        <w:rPr>
          <w:rFonts w:hint="default" w:ascii="Times New Roman" w:hAnsi="Times New Roman" w:eastAsia="黑体" w:cs="Times New Roman"/>
          <w:sz w:val="52"/>
          <w:szCs w:val="52"/>
        </w:rPr>
      </w:pPr>
      <w:r>
        <w:rPr>
          <w:rFonts w:hint="default" w:ascii="Times New Roman" w:hAnsi="Times New Roman" w:eastAsia="黑体" w:cs="Times New Roman"/>
          <w:b/>
          <w:bCs/>
          <w:sz w:val="52"/>
          <w:szCs w:val="52"/>
        </w:rPr>
        <w:t>学位授权点建设年度报告</w:t>
      </w:r>
    </w:p>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w:t>
      </w:r>
      <w:r>
        <w:rPr>
          <w:rFonts w:hint="default" w:ascii="Times New Roman" w:hAnsi="Times New Roman" w:eastAsia="楷体" w:cs="Times New Roman"/>
          <w:sz w:val="28"/>
          <w:szCs w:val="28"/>
        </w:rPr>
        <w:t>2022年）</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61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3510" w:type="dxa"/>
            <w:vMerge w:val="restart"/>
            <w:shd w:val="clear" w:color="auto" w:fill="auto"/>
            <w:vAlign w:val="center"/>
          </w:tcPr>
          <w:p>
            <w:pPr>
              <w:jc w:val="center"/>
              <w:rPr>
                <w:rFonts w:hint="default" w:ascii="Times New Roman" w:hAnsi="Times New Roman" w:eastAsia="仿宋" w:cs="Times New Roman"/>
                <w:sz w:val="32"/>
                <w:szCs w:val="32"/>
              </w:rPr>
            </w:pPr>
            <w:r>
              <w:rPr>
                <w:rFonts w:hint="default" w:ascii="Times New Roman" w:hAnsi="Times New Roman" w:eastAsia="楷体" w:cs="Times New Roman"/>
                <w:sz w:val="28"/>
                <w:szCs w:val="28"/>
              </w:rPr>
              <w:t>学位授予单位</w:t>
            </w:r>
          </w:p>
        </w:tc>
        <w:tc>
          <w:tcPr>
            <w:tcW w:w="3618" w:type="dxa"/>
            <w:shd w:val="clear" w:color="auto" w:fill="auto"/>
          </w:tcPr>
          <w:p>
            <w:pPr>
              <w:rPr>
                <w:rFonts w:hint="default" w:ascii="Times New Roman" w:hAnsi="Times New Roman" w:eastAsia="仿宋" w:cs="Times New Roman"/>
                <w:sz w:val="36"/>
                <w:szCs w:val="36"/>
              </w:rPr>
            </w:pPr>
            <w:r>
              <w:rPr>
                <w:rFonts w:hint="default" w:ascii="Times New Roman" w:hAnsi="Times New Roman" w:eastAsia="楷体" w:cs="Times New Roman"/>
                <w:sz w:val="28"/>
                <w:szCs w:val="28"/>
              </w:rPr>
              <w:t>名称</w:t>
            </w: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continue"/>
            <w:shd w:val="clear" w:color="auto" w:fill="auto"/>
          </w:tcPr>
          <w:p>
            <w:pPr>
              <w:rPr>
                <w:rFonts w:hint="default" w:ascii="Times New Roman" w:hAnsi="Times New Roman" w:eastAsia="楷体" w:cs="Times New Roman"/>
                <w:sz w:val="28"/>
                <w:szCs w:val="36"/>
              </w:rPr>
            </w:pPr>
          </w:p>
        </w:tc>
        <w:tc>
          <w:tcPr>
            <w:tcW w:w="3618" w:type="dxa"/>
            <w:shd w:val="clear" w:color="auto" w:fill="auto"/>
          </w:tcPr>
          <w:p>
            <w:pPr>
              <w:rPr>
                <w:rFonts w:hint="default" w:ascii="Times New Roman" w:hAnsi="Times New Roman" w:eastAsia="仿宋" w:cs="Times New Roman"/>
                <w:sz w:val="36"/>
                <w:szCs w:val="36"/>
              </w:rPr>
            </w:pPr>
            <w:r>
              <w:rPr>
                <w:rFonts w:hint="default" w:ascii="Times New Roman" w:hAnsi="Times New Roman" w:eastAsia="楷体" w:cs="Times New Roman"/>
                <w:sz w:val="28"/>
                <w:szCs w:val="28"/>
              </w:rPr>
              <w:t>代码10389</w:t>
            </w:r>
          </w:p>
        </w:tc>
      </w:tr>
    </w:tbl>
    <w:p>
      <w:pPr>
        <w:rPr>
          <w:rFonts w:hint="default" w:ascii="Times New Roman" w:hAnsi="Times New Roman" w:eastAsia="楷体" w:cs="Times New Roman"/>
          <w:sz w:val="28"/>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08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restart"/>
            <w:shd w:val="clear" w:color="auto" w:fill="auto"/>
            <w:vAlign w:val="center"/>
          </w:tcPr>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授权学科</w:t>
            </w:r>
          </w:p>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（类别）</w:t>
            </w:r>
          </w:p>
        </w:tc>
        <w:tc>
          <w:tcPr>
            <w:tcW w:w="3083" w:type="dxa"/>
            <w:shd w:val="clear" w:color="auto" w:fill="auto"/>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名称</w:t>
            </w:r>
            <w:r>
              <w:rPr>
                <w:rFonts w:hint="default" w:ascii="Times New Roman" w:hAnsi="Times New Roman" w:eastAsia="楷体" w:cs="Times New Roman"/>
                <w:sz w:val="28"/>
                <w:szCs w:val="36"/>
                <w:lang w:val="en-US" w:eastAsia="zh-CN"/>
              </w:rPr>
              <w:t xml:space="preserve"> </w:t>
            </w:r>
            <w:r>
              <w:rPr>
                <w:rFonts w:hint="default" w:ascii="Times New Roman" w:hAnsi="Times New Roman" w:eastAsia="楷体" w:cs="Times New Roman"/>
                <w:sz w:val="28"/>
                <w:szCs w:val="36"/>
              </w:rPr>
              <w:t>林 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continue"/>
            <w:shd w:val="clear" w:color="auto" w:fill="auto"/>
          </w:tcPr>
          <w:p>
            <w:pPr>
              <w:jc w:val="center"/>
              <w:rPr>
                <w:rFonts w:hint="default" w:ascii="Times New Roman" w:hAnsi="Times New Roman" w:eastAsia="楷体" w:cs="Times New Roman"/>
                <w:sz w:val="28"/>
                <w:szCs w:val="36"/>
              </w:rPr>
            </w:pPr>
          </w:p>
        </w:tc>
        <w:tc>
          <w:tcPr>
            <w:tcW w:w="3083" w:type="dxa"/>
            <w:shd w:val="clear" w:color="auto" w:fill="auto"/>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代码</w:t>
            </w:r>
            <w:r>
              <w:rPr>
                <w:rFonts w:hint="default" w:ascii="Times New Roman" w:hAnsi="Times New Roman" w:eastAsia="楷体" w:cs="Times New Roman"/>
                <w:sz w:val="28"/>
                <w:szCs w:val="36"/>
                <w:lang w:val="en-US" w:eastAsia="zh-CN"/>
              </w:rPr>
              <w:t xml:space="preserve"> </w:t>
            </w:r>
            <w:r>
              <w:rPr>
                <w:rFonts w:hint="default" w:ascii="Times New Roman" w:hAnsi="Times New Roman" w:eastAsia="楷体" w:cs="Times New Roman"/>
                <w:sz w:val="28"/>
                <w:szCs w:val="36"/>
              </w:rPr>
              <w:t>0907</w:t>
            </w:r>
          </w:p>
        </w:tc>
      </w:tr>
    </w:tbl>
    <w:p>
      <w:pPr>
        <w:rPr>
          <w:rFonts w:hint="default" w:ascii="Times New Roman" w:hAnsi="Times New Roman" w:eastAsia="楷体" w:cs="Times New Roman"/>
          <w:sz w:val="28"/>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09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restart"/>
            <w:shd w:val="clear" w:color="auto" w:fill="auto"/>
            <w:vAlign w:val="center"/>
          </w:tcPr>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授权级别</w:t>
            </w:r>
          </w:p>
        </w:tc>
        <w:tc>
          <w:tcPr>
            <w:tcW w:w="3098" w:type="dxa"/>
            <w:shd w:val="clear" w:color="auto" w:fill="auto"/>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lang w:eastAsia="zh-CN"/>
              </w:rPr>
              <w:t>☑</w:t>
            </w:r>
            <w:r>
              <w:rPr>
                <w:rFonts w:hint="default" w:ascii="Times New Roman" w:hAnsi="Times New Roman" w:eastAsia="楷体" w:cs="Times New Roman"/>
                <w:sz w:val="28"/>
                <w:szCs w:val="36"/>
              </w:rPr>
              <w:t xml:space="preserve">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10" w:type="dxa"/>
            <w:vMerge w:val="continue"/>
            <w:shd w:val="clear" w:color="auto" w:fill="auto"/>
          </w:tcPr>
          <w:p>
            <w:pPr>
              <w:jc w:val="center"/>
              <w:rPr>
                <w:rFonts w:hint="default" w:ascii="Times New Roman" w:hAnsi="Times New Roman" w:eastAsia="楷体" w:cs="Times New Roman"/>
                <w:sz w:val="28"/>
                <w:szCs w:val="36"/>
              </w:rPr>
            </w:pPr>
          </w:p>
        </w:tc>
        <w:tc>
          <w:tcPr>
            <w:tcW w:w="3098" w:type="dxa"/>
            <w:shd w:val="clear" w:color="auto" w:fill="auto"/>
          </w:tcPr>
          <w:p>
            <w:pPr>
              <w:rPr>
                <w:rFonts w:hint="default" w:ascii="Times New Roman" w:hAnsi="Times New Roman" w:eastAsia="楷体" w:cs="Times New Roman"/>
                <w:sz w:val="28"/>
                <w:szCs w:val="36"/>
              </w:rPr>
            </w:pPr>
            <w:r>
              <w:rPr>
                <w:rFonts w:hint="eastAsia" w:ascii="Times New Roman" w:hAnsi="Times New Roman" w:eastAsia="楷体" w:cs="Times New Roman"/>
                <w:sz w:val="28"/>
                <w:szCs w:val="36"/>
                <w:lang w:eastAsia="zh-CN"/>
              </w:rPr>
              <w:t>☑</w:t>
            </w:r>
            <w:r>
              <w:rPr>
                <w:rFonts w:hint="default" w:ascii="Times New Roman" w:hAnsi="Times New Roman" w:eastAsia="楷体" w:cs="Times New Roman"/>
                <w:sz w:val="28"/>
                <w:szCs w:val="36"/>
              </w:rPr>
              <w:t xml:space="preserve"> 硕士</w:t>
            </w:r>
          </w:p>
        </w:tc>
      </w:tr>
    </w:tbl>
    <w:p>
      <w:pPr>
        <w:rPr>
          <w:rFonts w:hint="default" w:ascii="Times New Roman" w:hAnsi="Times New Roman" w:eastAsia="楷体" w:cs="Times New Roman"/>
          <w:sz w:val="28"/>
          <w:szCs w:val="36"/>
        </w:rPr>
      </w:pPr>
    </w:p>
    <w:p>
      <w:pPr>
        <w:jc w:val="center"/>
        <w:rPr>
          <w:rFonts w:hint="default" w:ascii="Times New Roman" w:hAnsi="Times New Roman" w:eastAsia="楷体" w:cs="Times New Roman"/>
          <w:sz w:val="36"/>
          <w:szCs w:val="44"/>
        </w:rPr>
      </w:pPr>
    </w:p>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2022年12月20日</w:t>
      </w:r>
      <w:bookmarkStart w:id="15" w:name="_GoBack"/>
      <w:bookmarkEnd w:id="15"/>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引 言</w:t>
      </w:r>
    </w:p>
    <w:p>
      <w:pPr>
        <w:pBdr>
          <w:top w:val="none" w:color="auto" w:sz="0" w:space="1"/>
          <w:left w:val="none" w:color="auto" w:sz="0" w:space="4"/>
          <w:bottom w:val="none" w:color="auto" w:sz="0" w:space="1"/>
          <w:right w:val="none" w:color="auto" w:sz="0" w:space="4"/>
        </w:pBdr>
        <w:spacing w:line="60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福建农林大学是以农林学科为优势和特色，理、工、经、管、法、艺等多学科协调发展的省属重点大学，是农业农村部、国家林草局与福建省政府共建高校，福建省一流大学建设高校。学校是全国首批硕士学位授予权单位和全国第二批博士学位授予权单位。1962年学校开始招收研究生，1981年获全国首批硕士学位授予权，1984年获全国第二批博士学位授予权，1995年建立博士后科研流动站，1998年获得一级学科博士学位授予权。</w:t>
      </w:r>
    </w:p>
    <w:p>
      <w:pPr>
        <w:pBdr>
          <w:top w:val="none" w:color="auto" w:sz="0" w:space="1"/>
          <w:left w:val="none" w:color="auto" w:sz="0" w:space="4"/>
          <w:bottom w:val="none" w:color="auto" w:sz="0" w:space="1"/>
          <w:right w:val="none" w:color="auto" w:sz="0" w:space="4"/>
        </w:pBdr>
        <w:spacing w:line="60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学校启动了新一轮学科建设，林学学科列入校重中之重发展学科，一年来，学院以习近平新时代中国特色社会主义思想为引领，深入学习贯彻党的二十大、习近平总书记关于教育的重要论述和全国研究生教育会议精神，紧扣立德树人、强农兴农的时代使命，以制度建设为抓手，坚持问题导向、坚持创新引领，深化新时代研究生教育综合改革，全面推进研究生教育取得新成效。</w:t>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sectPr>
          <w:footerReference r:id="rId4" w:type="default"/>
          <w:pgSz w:w="11906" w:h="16838"/>
          <w:pgMar w:top="2098" w:right="1474" w:bottom="1984" w:left="1587" w:header="851" w:footer="992" w:gutter="0"/>
          <w:cols w:space="425" w:num="1"/>
          <w:docGrid w:type="lines" w:linePitch="312" w:charSpace="0"/>
        </w:sectPr>
      </w:pPr>
    </w:p>
    <w:p>
      <w:pPr>
        <w:pStyle w:val="21"/>
        <w:jc w:val="center"/>
        <w:rPr>
          <w:rFonts w:hint="default" w:ascii="Times New Roman" w:hAnsi="Times New Roman" w:cs="Times New Roman"/>
          <w:color w:val="000000"/>
        </w:rPr>
      </w:pPr>
      <w:r>
        <w:rPr>
          <w:rFonts w:hint="default" w:ascii="Times New Roman" w:hAnsi="Times New Roman" w:cs="Times New Roman"/>
          <w:color w:val="000000"/>
          <w:lang w:val="zh-CN"/>
        </w:rPr>
        <w:t>目录</w:t>
      </w:r>
    </w:p>
    <w:p>
      <w:pPr>
        <w:pStyle w:val="9"/>
        <w:spacing w:line="360" w:lineRule="auto"/>
        <w:rPr>
          <w:rFonts w:hint="default" w:ascii="Times New Roman" w:hAnsi="Times New Roman" w:cs="Times New Roman" w:eastAsiaTheme="minorEastAsia"/>
          <w:b w:val="0"/>
          <w:bCs w:val="0"/>
          <w:sz w:val="28"/>
          <w:szCs w:val="28"/>
          <w:lang w:val="en-US"/>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TOC \o "1-3" \h \z \u </w:instrText>
      </w:r>
      <w:r>
        <w:rPr>
          <w:rFonts w:hint="default" w:ascii="Times New Roman" w:hAnsi="Times New Roman" w:eastAsia="仿宋" w:cs="Times New Roman"/>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"_Toc122118431"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一、学位授权点基本情况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"_Toc122118432"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（一）目标与标准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"_Toc122118433"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（二）基本条件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spacing w:line="360" w:lineRule="auto"/>
        <w:rPr>
          <w:rFonts w:hint="default" w:ascii="Times New Roman" w:hAnsi="Times New Roman" w:cs="Times New Roman" w:eastAsiaTheme="minorEastAsia"/>
          <w:b w:val="0"/>
          <w:bCs w:val="0"/>
          <w:sz w:val="28"/>
          <w:szCs w:val="28"/>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"_Toc122118434"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二、工作特色与成效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"_Toc122118435"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（一）科学研究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"_Toc122118436"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（二）师资队伍与平台基础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"_Toc122118437"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（三）人才培养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"_Toc122118438"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（四）招生选拔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"_Toc122118439"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（五）培养方案修订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_Toc122118439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"_Toc122118440"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（六）质量监控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"_Toc122118441"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（七）就业发展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spacing w:line="360" w:lineRule="auto"/>
        <w:rPr>
          <w:rFonts w:hint="default" w:ascii="Times New Roman" w:hAnsi="Times New Roman" w:cs="Times New Roman" w:eastAsiaTheme="minorEastAsia"/>
          <w:b w:val="0"/>
          <w:bCs w:val="0"/>
          <w:sz w:val="28"/>
          <w:szCs w:val="28"/>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"_Toc122118442"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三、学位点建设存在的问题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spacing w:line="360" w:lineRule="auto"/>
        <w:rPr>
          <w:rFonts w:hint="default" w:ascii="Times New Roman" w:hAnsi="Times New Roman" w:cs="Times New Roman" w:eastAsiaTheme="minorEastAsia"/>
          <w:b w:val="0"/>
          <w:bCs w:val="0"/>
          <w:sz w:val="28"/>
          <w:szCs w:val="28"/>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"_Toc122118443" </w:instrText>
      </w:r>
      <w:r>
        <w:rPr>
          <w:rFonts w:hint="default" w:ascii="Times New Roman" w:hAnsi="Times New Roman" w:cs="Times New Roman"/>
        </w:rPr>
        <w:fldChar w:fldCharType="separate"/>
      </w:r>
      <w:r>
        <w:rPr>
          <w:rStyle w:val="14"/>
          <w:rFonts w:hint="default" w:ascii="Times New Roman" w:hAnsi="Times New Roman" w:cs="Times New Roman"/>
          <w:sz w:val="28"/>
          <w:szCs w:val="28"/>
        </w:rPr>
        <w:t>四、下一年度建设计划</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_Toc122118443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zh-CN"/>
        </w:rPr>
        <w:fldChar w:fldCharType="end"/>
      </w:r>
    </w:p>
    <w:p>
      <w:pPr>
        <w:snapToGrid w:val="0"/>
        <w:spacing w:beforeLines="50" w:line="600" w:lineRule="exact"/>
        <w:rPr>
          <w:rFonts w:hint="default" w:ascii="Times New Roman" w:hAnsi="Times New Roman" w:eastAsia="黑体" w:cs="Times New Roman"/>
          <w:bCs/>
          <w:sz w:val="32"/>
          <w:szCs w:val="32"/>
        </w:rPr>
      </w:pPr>
    </w:p>
    <w:p>
      <w:pPr>
        <w:snapToGrid w:val="0"/>
        <w:spacing w:beforeLines="50" w:line="600" w:lineRule="exact"/>
        <w:rPr>
          <w:rFonts w:hint="default" w:ascii="Times New Roman" w:hAnsi="Times New Roman" w:eastAsia="黑体" w:cs="Times New Roman"/>
          <w:bCs/>
          <w:sz w:val="32"/>
          <w:szCs w:val="32"/>
        </w:rPr>
      </w:pPr>
    </w:p>
    <w:p>
      <w:pPr>
        <w:snapToGrid w:val="0"/>
        <w:spacing w:beforeLines="50" w:line="600" w:lineRule="exact"/>
        <w:rPr>
          <w:rFonts w:hint="default" w:ascii="Times New Roman" w:hAnsi="Times New Roman" w:eastAsia="黑体" w:cs="Times New Roman"/>
          <w:bCs/>
          <w:sz w:val="32"/>
          <w:szCs w:val="32"/>
        </w:rPr>
      </w:pPr>
    </w:p>
    <w:p>
      <w:pPr>
        <w:snapToGrid w:val="0"/>
        <w:spacing w:beforeLines="50" w:line="600" w:lineRule="exact"/>
        <w:rPr>
          <w:rFonts w:hint="default" w:ascii="Times New Roman" w:hAnsi="Times New Roman" w:eastAsia="黑体" w:cs="Times New Roman"/>
          <w:bCs/>
          <w:sz w:val="32"/>
          <w:szCs w:val="32"/>
        </w:rPr>
        <w:sectPr>
          <w:pgSz w:w="11906" w:h="16838"/>
          <w:pgMar w:top="1440" w:right="1800" w:bottom="1440" w:left="1800" w:header="851" w:footer="992" w:gutter="0"/>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cs="Times New Roman"/>
        </w:rPr>
      </w:pPr>
      <w:bookmarkStart w:id="0" w:name="_Toc122118431"/>
      <w:r>
        <w:rPr>
          <w:rFonts w:hint="default" w:ascii="Times New Roman" w:hAnsi="Times New Roman" w:cs="Times New Roman"/>
        </w:rPr>
        <w:t>一、学位授权点基本情况</w:t>
      </w:r>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福建农林大学林学学科始创于1940年，1979年获批我国最早的“经济林学”硕士点，1984年设立“造林学”硕士点，2006年和2007年获批“林学一级学科博士点”和“林学博士后科研流动站”。林学一级学科是国家林业局重点学科、福建省高峰学科、福建省特色重点学科和福建省首批重点学科，在2017年全国第四轮学科评估中，林学学科获得B+，并列排名全国第四。现列入教育部优势学科、福建省一流学科和福建农林大学重中之重建设学科，设置了林学一级学科博士点、一级学科硕士点和林业专业学位硕士（含非全日制）。经过82年的发展，学位点已经形成了“本科-硕士-博士-博士后”多层次林学人才培养格局，培养各类学生17000多名，逐步建成了极具南方特色的研究领域和学科体系。</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1" w:name="_Toc122118432"/>
      <w:r>
        <w:rPr>
          <w:rFonts w:hint="default" w:ascii="Times New Roman" w:hAnsi="Times New Roman" w:cs="Times New Roman"/>
        </w:rPr>
        <w:t>（一）目标与标准</w:t>
      </w:r>
      <w:bookmarkEnd w:id="1"/>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1.培养目标</w:t>
      </w:r>
      <w:r>
        <w:rPr>
          <w:rFonts w:hint="default" w:ascii="Times New Roman" w:hAnsi="Times New Roman" w:eastAsia="仿宋_GB2312"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林学博士：培养德智体美劳全面发展，具有强烈的家国情怀、生态文明意识、社会责任感和良好的科学素养与国际视野，掌握坚实的南方林学基础理论和宽广的专业知识，富有批判性思维和创新意识，具备较强的创造性工作能力，符合现代林业发展、国家生态文明建设、双碳目标实现和绿色发展等需求的高层次创新型人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林学硕士：培养德智体美劳全面发展，具有家国情怀、耕读精神、科学素养、生态文明意识和社会责任感，能适应国家经济社会发展、生态文明建设、双碳目标实现等需求，具备扎实南方林木种业创新、森林培育、森林经营管理、森林灾害控制、水土流失治理、林业信息化建设等方面的基础理论知识与应用技能，适合在林业、国土资源、水利、农业、环境保护等部门、高等院校、科研院所等企事业单位从事教学、科研、技术推广和管理等工作的高素质创新型人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2.学位标准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博士标准：（1）博士学位论文经过导师和所在学位点审定同意，通过论文查重、盲审和答辩等环节，经学位评定分委员会审查、投票，建议授予学位的博士研究生；（2）博士学位论文第一次送外盲审评阅结论为AAA，或在具有国际影响力的国内科技期刊、业界公认的国际顶级或重要科技期刊发表高质量论文1篇，或达到《福建农林大学博士研究生获得学术成果规定（2020年修订）》、《福建农林大学林学院研究生高质量论文及其它</w:t>
      </w:r>
      <w:bookmarkStart w:id="2" w:name="OLE_LINK1"/>
      <w:bookmarkStart w:id="3" w:name="OLE_LINK2"/>
      <w:r>
        <w:rPr>
          <w:rFonts w:hint="default" w:ascii="Times New Roman" w:hAnsi="Times New Roman" w:eastAsia="仿宋_GB2312" w:cs="Times New Roman"/>
          <w:kern w:val="0"/>
          <w:sz w:val="32"/>
          <w:szCs w:val="32"/>
        </w:rPr>
        <w:t>重要创新性</w:t>
      </w:r>
      <w:bookmarkEnd w:id="2"/>
      <w:bookmarkEnd w:id="3"/>
      <w:r>
        <w:rPr>
          <w:rFonts w:hint="default" w:ascii="Times New Roman" w:hAnsi="Times New Roman" w:eastAsia="仿宋_GB2312" w:cs="Times New Roman"/>
          <w:kern w:val="0"/>
          <w:sz w:val="32"/>
          <w:szCs w:val="32"/>
        </w:rPr>
        <w:t>成果认定方案（2021年）》认定标准。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发表的学术论文必须与学位论文的内容相关，博士生须为第一作者，福建农林大学林学院或学院建设平台为第一署名单位（未来</w:t>
      </w:r>
      <w:r>
        <w:rPr>
          <w:rFonts w:hint="eastAsia" w:ascii="Times New Roman" w:hAnsi="Times New Roman" w:eastAsia="仿宋_GB2312" w:cs="Times New Roman"/>
          <w:kern w:val="0"/>
          <w:sz w:val="32"/>
          <w:szCs w:val="32"/>
          <w:lang w:val="en-US" w:eastAsia="zh-CN"/>
        </w:rPr>
        <w:t>技术</w:t>
      </w:r>
      <w:r>
        <w:rPr>
          <w:rFonts w:hint="default" w:ascii="Times New Roman" w:hAnsi="Times New Roman" w:eastAsia="仿宋_GB2312" w:cs="Times New Roman"/>
          <w:kern w:val="0"/>
          <w:sz w:val="32"/>
          <w:szCs w:val="32"/>
        </w:rPr>
        <w:t>学院的博士生需以海峡联合研究院蛋白质组学研究中心或以福建农林大学林学院为第一署名单位），导师为通讯作者（或指导教师小组成员为通讯作者，且导师为作者之一）。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硕士标准：（1）硕士学位论文经过导师和所在学位点审定同意，通过论文查重、盲审和答辩等环节，经学位评定分委员会审查、投票，建议授予学位的硕士研究生；（2）学生在中文核心期刊或本科大学学报及以上学术刊物发表学术论文1篇或取得其它创新性成果分值5分以上（其它创新性成果参照《福建农林大学林学院研究生高质量论文及其它重要创新性成果认定方案（2021年）》相关认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所发表的学术论文或创新性成果需是研究生所在学科领域的内容。发表学术论文需以硕士学位申请者为第一作者（其中SCI收录论文排名第二、第三的共同第一作者可视为第一作者，但论文影响因子除以共同第一作者人数应不低于1.5分），以福建农林大学林学院或学院建设平台为第一署名单位（未来技术学院的硕士生需以福建农林大学未来技术学院或以福建农林大学林学院为第一署名单位），导师为通讯作者（或指导教师小组成员为通讯作者，且导师为作者之一）</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4" w:name="_Toc122118433"/>
      <w:r>
        <w:rPr>
          <w:rFonts w:hint="default" w:ascii="Times New Roman" w:hAnsi="Times New Roman" w:cs="Times New Roman"/>
        </w:rPr>
        <w:t>（二）基本条件</w:t>
      </w:r>
      <w:bookmarkEnd w:id="4"/>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1.培养方向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位点布局森林培育、林木遗传育种、森林资源经营管理、水土保持、森林保护、野生动植物保护与利用六大研究方向，围绕杉木、毛竹、闽楠、福建柏、油茶、香樟等南方特色树种的高效栽培利用、良种选育、分子育种、林业碳汇、林地水土流失治理、林业有害生物防控开展持续研究，形成了特色和优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（一）森林培育：开展森林丰产培育、定向培育、生态培育、树木生理与基础生物学、海岸带森林与环境、森林固碳增汇等相关前沿理论研究与技术开发，推动现代森林培育理论与技术创新发展；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（二）林木遗传育种：开展林木种质资源收集保存、综合评价与遗传改良、林木生物技术、蛋白质组学、表观遗传学等基础理论或种业创新研究，促进现代林木育种水平创新提升；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森林经理学：开展森林资源监测与评价、林业可持续经营、林业碳汇监测与管理、森林资产评估、林业信息化与3S技术应用、森林康养等相关前沿理论研究与技术开发，促进森林可持续经营管理的理论与技术创新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水土保持与荒漠化防治：开展南方红壤区水土流失治理、沿海防护林建设、退化山地生态系统恢复与重建、森林理水与保土功能、恢复生态与生态工程等相关前沿理论研究与技术开发，促进水土保持与荒漠化防治的理论与技术创新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森林保护学：开展南方主要森林灾害形成机理、发生规律、低碳防治、检验检疫，以及利用现代生物技术、信息技术、航空航天技术监测预警森林灾害等领域的前沿理论研究与技术开发，促进森林保护的理论与技术创新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野生动植物保护与利用：开展药用植物栽培与利用、野生动植物生理与基础生物学、生物多样性保护、自然保护地建设与管理、国家公园管理等领域的前沿基础理论研究与技术开发，促进野生动植物保护利用、自然保护地和国家公园建设的理论与技术创新发展。</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2.师资队伍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有专任教师66人。其中正高级21人，副高级22人，中级23人。2021 -2022年期间，新晋升博士生导师8人，现有博士生导师26人（含兼职博士生导师2人）。58人有博士学位，占87.87%；近3年，有1人次获享受国务院政府特殊津贴，并获福建省高校优秀共产党员荣誉称号，1人次被聘为国务院学科评议组成员，1人次荣获第二批全国林业和草原教学名师称号，1人次入选福建省百千万工程人选，14位教师入选福建省高层次人才，1人次受邀参加中国科协第十次全国代表大会，1人次获第十五届福建省青年科技奖，1人次获得国家林业和草原局青年科技奖，2支团队获福建青年五四奖章集体。</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3.平台条件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院现有3个国家林业和草原局科研平台：国家林业和草原局杉木工程技术研究中心、南方红壤区水土保持国家林业和草原局重点实验室、国家林业和草原局福建长汀红壤丘陵生态系统定位观测研究站。2个省2011协同创新中心：海峡两岸红壤区水土保持协同创新中心、竹资源高效培育与利用协同创新中心；1个福建省教育厅南方水土保持研究院；13个福建省重点实验室、高校重点实验室或工程研究中心：福建杉木研究中心，福建省杉木工程技术研究中心，福建省杉木种质创新工程研究中心，人工林可持续经营福建省高校工程研究中心，福建省南方森林资源与环境工程技术研究中心，福建省油茶工程技术研究中心，自然生物资源保育利用福建省高校工程研究中心，林木逆境生理生态及分子生物学福建省高校重点实验室，3S技术与资源优化利用福建省高校重点实验室，福建省资源环境监测与可持续经营利用重点实验室，森林生态系统过程与经营福建省高校重点实验室，生态与资源统计福建省高校重点实验室，生态公益林重大有害生物防控福建省高校重点实验室。林学省级实验示范中心1个。</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4.奖助体系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制定和实施了完善的研究生奖助体系，奖助资金主要来源于国家和学校拨款、导师科研项目和社会捐赠。2022年本学位点研究生助学金、助研补贴覆盖率100%，其中4人获得国家奖学金（总计8万元），259人获得国家助学金【（20级农学76人、21级农学73人、22级农学70人共计131.4万元）、博士40人共计80万元】，90人获得学业奖学金【（硕士一等奖15人、二等奖22人、三等奖36人共计53.6万元），博士共计14.5万元】，总计发放奖助金287.5万元（不含导师发放的助研补助）。</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5.管理服务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校研究生院下设招生办、培养办、学位办、质量监督办等，学院设有研究生管理办公室，配备专职教学管理人员2名，按1：200的师生比配置辅导员2名。出台、修订了《福建农林大学学生管理规定》等系列文件、办法，出版了《福建农林大学研究生教育工作手册》</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汇编了60个研究生教育管理过程和质量保障文件，保障学位点工作规范化、程序化运行。建立了“研究生招生管理系统”、“研究生教育管理信息系统”和“学位信息采集系统”，研究生培养过程中产生的重要档案均由专人编码存档。</w:t>
      </w:r>
    </w:p>
    <w:p>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cs="Times New Roman"/>
        </w:rPr>
      </w:pPr>
      <w:bookmarkStart w:id="5" w:name="_Toc122118434"/>
      <w:r>
        <w:rPr>
          <w:rFonts w:hint="default" w:ascii="Times New Roman" w:hAnsi="Times New Roman" w:cs="Times New Roman"/>
        </w:rPr>
        <w:t>二、工作特色与成效</w:t>
      </w:r>
      <w:bookmarkEnd w:id="5"/>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6" w:name="_Toc122118435"/>
      <w:r>
        <w:rPr>
          <w:rFonts w:hint="default" w:ascii="Times New Roman" w:hAnsi="Times New Roman" w:cs="Times New Roman"/>
        </w:rPr>
        <w:t>（一）科学研究</w:t>
      </w:r>
      <w:bookmarkEnd w:id="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2022年学位点新增国家重点研发课题《杉木大径级无节良材培育技术》、国家自然科学基金面上项目等横纵向课题90多项，合同经费经费达2900多万元，获得省部级科技进步二等奖2项，在《Forest Ecology and Management》、《Plants》等国内外学术期刊上发表高水平214篇，出版《中国格氏栲》、《福建野生藤本植物》等学术专著4部，4个品种通过省林业局认定。</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7" w:name="_Toc122118436"/>
      <w:r>
        <w:rPr>
          <w:rFonts w:hint="default" w:ascii="Times New Roman" w:hAnsi="Times New Roman" w:cs="Times New Roman"/>
        </w:rPr>
        <w:t>（二）师资队伍与平台基础</w:t>
      </w:r>
      <w:bookmarkEnd w:id="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位点结合碳中和学院成立和林学重中之重学科建设需要，成立人才专班，结合林学学科建设，进一步加强团队内涵建设，推进人才队伍建设。建设了“杉木种质与高效培育创新团队”等11支导师团队，引进了两位青年博士，一个团队申报并获得福建农林大学黄大年式教师团队称号。“闽台特色林木高效培育与保护教师团队”获评全国高校黄大年式教师团队获得立项， 3位教师晋升教授、7位教师晋升副教授，2位教师入选全国林业和草原信息标准化技术委员会委员。在导师遴选上实行动态管理，注重师德师风培训，开展导师相关培训，推进师德师风建设。2022年学院3位教师增列为博士生导师，新增校内2位、校外16位硕士生导师。同时，学位点扎实推进平台基础建设，福建农林大学上杭白砂林场产教融合研究生联合培养基地获得福建省产教融合研究生联合培养基地立项建设，生态公益林重大有害生物防控福建省高校重点实验室顺利通过验收，扎实推进研究生实践基地建设。</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8" w:name="_Toc122118437"/>
      <w:r>
        <w:rPr>
          <w:rFonts w:hint="default" w:ascii="Times New Roman" w:hAnsi="Times New Roman" w:cs="Times New Roman"/>
        </w:rPr>
        <w:t>（三）人才培养</w:t>
      </w:r>
      <w:bookmarkEnd w:id="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位点扎实推进研究生科技创新，拓展学位点建设，强化研究生教育教学改革，提升研究生培育质量。积极承办了校第二届研究生科技周活动院长论坛和科技成果展“绿色发展”主题模块，学院获得优秀组织奖。选拔12名博硕士研究生参加校第二届研究生科技周活动成果汇报，获得一等奖2名、三等奖5名。首次主办了学院2022年研究生“俞新妥”学术论坛，评选研究生“俞新妥”学术创新成果奖一等奖2名、二等奖3名和三等奖5名。并在碳中和学院、碳中和研究院揭牌成立之际，学院以“山水林田湖草沙统筹治理·推进绿色经济发展—助力国家双碳战略”为主题选取40篇2022届研究生毕业论文研究成果进行系列展示。2位研究生在首届森林康养国际研讨会作学术交流。1位硕士研究生学位论文获得省优秀学位论文。选送70篇研究生学术论文获得福建省林学会2021年学术年会优秀论文奖。</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9" w:name="_Toc122118438"/>
      <w:r>
        <w:rPr>
          <w:rFonts w:hint="default" w:ascii="Times New Roman" w:hAnsi="Times New Roman" w:cs="Times New Roman"/>
        </w:rPr>
        <w:t>（四）招生选拔</w:t>
      </w:r>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吸收优势生源，提升学位点建设影响力，学院以线上线下相结合的形式在7月13日至14日举办了大学生夏令营，遴选来自安徽师范大学、甘肃农业大学、沈阳农业大学、江西农业大学、西南林业大学、云南农业大学、北华大学等13个院校，涉及工业工程、生物技术、林学、自然地理与资源环境等14个专业的30名学生参加。并举办2023年研究生招生线上宣讲会，通过中国教育在线掌上考研平台公开向社会直播，同时在学习强国和今日头条等平台同步直播，扩大学生研究生招生影响力。严格招生过程，制定和实施了《招收研究生复试工作办法》、《硕博连读研究生选拔办法实施细则》和《申请-考核制选拔博士生实施细则》等制度，成立招生工作小组，强化教育组织过程，举办2023年研究生招生线上宣讲会，通过中国教育在线掌上考研平台公开向社会直播，同时在学习强国和今日头条等平台同步直播，吸引了国内许多高校有意参加2023年推荐免试硕士生（含硕士生和直博生）及统招研究生的学生来到直播间。学位组织2次研究生远程招生复试，完成了14名博士研究生和73名学术型硕士生的录取工作。</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10" w:name="_Toc122118439"/>
      <w:r>
        <w:rPr>
          <w:rFonts w:hint="default" w:ascii="Times New Roman" w:hAnsi="Times New Roman" w:cs="Times New Roman"/>
        </w:rPr>
        <w:t>（五）培养方案修订</w:t>
      </w:r>
      <w:bookmarkEnd w:id="1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在校研究生院的统一组织下，进行学位点建设自查和培养方案修订，为保障人才培养质量提供更为扎实基础。在林学学术型博硕士学位点中“野生动植物保护利用”培养方向拓展了“国家公园与自然保护地”相关研究内容，各培养方向均增加了种业创新、现代生物技术应用、数字赋能、林业碳汇等相关研究内容；在林学博士、林学硕士结合引进资源，增设了《林业碳汇理论与实践》（32个学时，2学分）选修课，林学博士点中的《森林昆虫学生物研究进展》和《森林病理学研究进展》合并调整为《林业有害生物研究进展》；基于生物育种发展需求，在林学硕士中增设了《生物育种理论与技术》《生物信息学》和《高级遗传学》3门选修课。</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11" w:name="_Toc122118440"/>
      <w:r>
        <w:rPr>
          <w:rFonts w:hint="default" w:ascii="Times New Roman" w:hAnsi="Times New Roman" w:cs="Times New Roman"/>
        </w:rPr>
        <w:t>（六）质量监控</w:t>
      </w:r>
      <w:bookmarkEnd w:id="1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立研究生学业预警制度，以中期考核为抓手，严格把关“课程成绩”、“修读学分”和“论文开题情况”，对11位即将于2023年学制到期的研究生开展预警。建立研究生学业预警制度同时，加强对研究生的选修学分、课程考核、科研情况等培养环节的学业跟踪，对学业困难学生开展学业预警，采取心理辅导、延期考核、规劝退学等措施，督促学生潜心科研，顺利完成学业。同时严把学位论文质量出口关，建立学术不端行为检测、学位论文论文盲审、学位论文抽检的“三位一体”工作机制。委托第三方平台进行论文送审，实现毕业论文100%双盲审。推荐吴鹏飞教授为校研究生督导组成员，加强对研究生的日常教学管理过程监督。在开题中设置了选题论证环节，推进研究生选题符合专业和行业发展技术需求。</w:t>
      </w:r>
    </w:p>
    <w:p>
      <w:pPr>
        <w:pStyle w:val="3"/>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rPr>
      </w:pPr>
      <w:bookmarkStart w:id="12" w:name="_Toc122118441"/>
      <w:r>
        <w:rPr>
          <w:rFonts w:hint="default" w:ascii="Times New Roman" w:hAnsi="Times New Roman" w:cs="Times New Roman"/>
        </w:rPr>
        <w:t>（七）就业发展</w:t>
      </w:r>
      <w:bookmarkEnd w:id="1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位点2022年授予博士学位14人，其中全日制博士10人，8人在高等教育单位工作，2人在科研设计单位就业，就业率100%；授予硕士学位73人，64人就业，其中2人在党政机关工作，14人在高等教育单位工作，2人在中初等教育单位工作，5人在科研设计单位工作，3人在国有企业工作，26人在民营企业工作， 7人攻读博士学位，5人在其他单位工作，就业率87.7%，总体上就业情况良好，就业质量较高。</w:t>
      </w:r>
    </w:p>
    <w:p>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cs="Times New Roman"/>
        </w:rPr>
      </w:pPr>
      <w:bookmarkStart w:id="13" w:name="_Toc122118442"/>
      <w:r>
        <w:rPr>
          <w:rFonts w:hint="default" w:ascii="Times New Roman" w:hAnsi="Times New Roman" w:cs="Times New Roman"/>
        </w:rPr>
        <w:t>三、学位点建设存在的问题</w:t>
      </w:r>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1.研究生培养质量相对呈弱化现象，获得省级优秀学位论文仅1篇。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2.高层次人才引进、培养和导师团队建设仍需加强。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3.有效吸引推免生的办法相对较少，博士指标较兄弟院校严重不足。</w:t>
      </w:r>
    </w:p>
    <w:p>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cs="Times New Roman"/>
        </w:rPr>
      </w:pPr>
      <w:bookmarkStart w:id="14" w:name="_Toc122118443"/>
      <w:r>
        <w:rPr>
          <w:rFonts w:hint="default" w:ascii="Times New Roman" w:hAnsi="Times New Roman" w:cs="Times New Roman"/>
        </w:rPr>
        <w:t>四、下一年度建设计划</w:t>
      </w:r>
      <w:bookmarkEnd w:id="1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1.结合林学重中之重学科建设，强化导师团队作用，加强导师培训，加大研究生培养过程督促，提升研究生学位论文规范性和质量。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在学院成立人才专班基础上，进一步发挥导师作用，充分宣传，吸引优化青年人才，并适当引导高层次人才，同时结合林学重中之重成立的10个创新导师团队，强化团队责任人领军作用，逐步提升导师团队的整体质量与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将通过研究生院提供的在线直播平台，承办夏令营以及研究生学术论坛等活动，并通过老生宣读等办法，提升学科知名影响力，结合学校的3+1的三支一扶等，吸引更多推免生前来就读。针对于博士指标较兄北院校严重不足现象，一是在学校指标可调节下积极争取，二是推进林业专业博士学位点的申报与突破，获取更多的林学领域博士招生指标，拓展研究内涵，助力于重中之重林学学科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7</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OWQ3NjQ3MzVlZTFkZDMxODdhNWM1YWE2YmY1ODgifQ=="/>
  </w:docVars>
  <w:rsids>
    <w:rsidRoot w:val="007753A1"/>
    <w:rsid w:val="000010CE"/>
    <w:rsid w:val="00003D4A"/>
    <w:rsid w:val="000251CE"/>
    <w:rsid w:val="00041ABD"/>
    <w:rsid w:val="00042AF1"/>
    <w:rsid w:val="000449B7"/>
    <w:rsid w:val="00050EC4"/>
    <w:rsid w:val="000526E8"/>
    <w:rsid w:val="000578DE"/>
    <w:rsid w:val="00066D42"/>
    <w:rsid w:val="000813B6"/>
    <w:rsid w:val="000918F8"/>
    <w:rsid w:val="000A2995"/>
    <w:rsid w:val="000B7188"/>
    <w:rsid w:val="000B79BC"/>
    <w:rsid w:val="000E55B7"/>
    <w:rsid w:val="00103051"/>
    <w:rsid w:val="00130513"/>
    <w:rsid w:val="001321E7"/>
    <w:rsid w:val="00132201"/>
    <w:rsid w:val="001437F9"/>
    <w:rsid w:val="001446AE"/>
    <w:rsid w:val="00154D38"/>
    <w:rsid w:val="00186825"/>
    <w:rsid w:val="001926AB"/>
    <w:rsid w:val="001D7CC8"/>
    <w:rsid w:val="001E778A"/>
    <w:rsid w:val="001F035E"/>
    <w:rsid w:val="00201B74"/>
    <w:rsid w:val="00232902"/>
    <w:rsid w:val="0024547A"/>
    <w:rsid w:val="00247378"/>
    <w:rsid w:val="0025390E"/>
    <w:rsid w:val="00256D5A"/>
    <w:rsid w:val="00257A34"/>
    <w:rsid w:val="00265498"/>
    <w:rsid w:val="00272671"/>
    <w:rsid w:val="00273A5C"/>
    <w:rsid w:val="00274063"/>
    <w:rsid w:val="00285842"/>
    <w:rsid w:val="002978F8"/>
    <w:rsid w:val="002A559F"/>
    <w:rsid w:val="002C478A"/>
    <w:rsid w:val="002D1BA4"/>
    <w:rsid w:val="002D4C45"/>
    <w:rsid w:val="002F0B82"/>
    <w:rsid w:val="002F12E6"/>
    <w:rsid w:val="002F6553"/>
    <w:rsid w:val="0030592C"/>
    <w:rsid w:val="00307FFA"/>
    <w:rsid w:val="0032025C"/>
    <w:rsid w:val="00320ACD"/>
    <w:rsid w:val="003221E8"/>
    <w:rsid w:val="00343234"/>
    <w:rsid w:val="00343278"/>
    <w:rsid w:val="00354BFC"/>
    <w:rsid w:val="003626B7"/>
    <w:rsid w:val="00366648"/>
    <w:rsid w:val="00385B9E"/>
    <w:rsid w:val="00397076"/>
    <w:rsid w:val="003C4B0C"/>
    <w:rsid w:val="003D0684"/>
    <w:rsid w:val="003F099E"/>
    <w:rsid w:val="003F379D"/>
    <w:rsid w:val="003F5A39"/>
    <w:rsid w:val="003F6D19"/>
    <w:rsid w:val="004342D9"/>
    <w:rsid w:val="00447BA9"/>
    <w:rsid w:val="00457246"/>
    <w:rsid w:val="004640BF"/>
    <w:rsid w:val="0047287F"/>
    <w:rsid w:val="00482066"/>
    <w:rsid w:val="00482614"/>
    <w:rsid w:val="0049153E"/>
    <w:rsid w:val="004A080D"/>
    <w:rsid w:val="004B35F3"/>
    <w:rsid w:val="004B37B8"/>
    <w:rsid w:val="004B4A3E"/>
    <w:rsid w:val="004B7FB9"/>
    <w:rsid w:val="004D4A24"/>
    <w:rsid w:val="004E0CC7"/>
    <w:rsid w:val="004F03E8"/>
    <w:rsid w:val="004F1DCC"/>
    <w:rsid w:val="004F28B7"/>
    <w:rsid w:val="004F6994"/>
    <w:rsid w:val="00501F14"/>
    <w:rsid w:val="005105D3"/>
    <w:rsid w:val="005209B6"/>
    <w:rsid w:val="00520FB6"/>
    <w:rsid w:val="00521610"/>
    <w:rsid w:val="00521ECC"/>
    <w:rsid w:val="005305E5"/>
    <w:rsid w:val="00535B71"/>
    <w:rsid w:val="00536EB6"/>
    <w:rsid w:val="00541200"/>
    <w:rsid w:val="00557C67"/>
    <w:rsid w:val="00561CE0"/>
    <w:rsid w:val="0056354D"/>
    <w:rsid w:val="00566B06"/>
    <w:rsid w:val="00573C56"/>
    <w:rsid w:val="005828BD"/>
    <w:rsid w:val="00587993"/>
    <w:rsid w:val="005B3EA8"/>
    <w:rsid w:val="005C3ECC"/>
    <w:rsid w:val="005D0287"/>
    <w:rsid w:val="006206ED"/>
    <w:rsid w:val="006268EA"/>
    <w:rsid w:val="00633528"/>
    <w:rsid w:val="006356A6"/>
    <w:rsid w:val="00654380"/>
    <w:rsid w:val="00673849"/>
    <w:rsid w:val="00676DB0"/>
    <w:rsid w:val="0068408E"/>
    <w:rsid w:val="0069591B"/>
    <w:rsid w:val="0069612D"/>
    <w:rsid w:val="006975DC"/>
    <w:rsid w:val="006A1F41"/>
    <w:rsid w:val="006A7EED"/>
    <w:rsid w:val="006B675A"/>
    <w:rsid w:val="006C1BD8"/>
    <w:rsid w:val="006C5199"/>
    <w:rsid w:val="006E440B"/>
    <w:rsid w:val="006F1F2B"/>
    <w:rsid w:val="006F2947"/>
    <w:rsid w:val="006F773E"/>
    <w:rsid w:val="00705B94"/>
    <w:rsid w:val="007065E2"/>
    <w:rsid w:val="0070779C"/>
    <w:rsid w:val="00715D35"/>
    <w:rsid w:val="007272F6"/>
    <w:rsid w:val="00771166"/>
    <w:rsid w:val="00774B62"/>
    <w:rsid w:val="007753A1"/>
    <w:rsid w:val="007A0B3D"/>
    <w:rsid w:val="007A2585"/>
    <w:rsid w:val="007A62C1"/>
    <w:rsid w:val="007C2900"/>
    <w:rsid w:val="007C4423"/>
    <w:rsid w:val="007C4576"/>
    <w:rsid w:val="007D1886"/>
    <w:rsid w:val="007D425F"/>
    <w:rsid w:val="007D4A8B"/>
    <w:rsid w:val="007E4E48"/>
    <w:rsid w:val="007F5B35"/>
    <w:rsid w:val="007F6DEA"/>
    <w:rsid w:val="00804E31"/>
    <w:rsid w:val="00813359"/>
    <w:rsid w:val="008150B9"/>
    <w:rsid w:val="00816166"/>
    <w:rsid w:val="00825FF3"/>
    <w:rsid w:val="00831015"/>
    <w:rsid w:val="00836E91"/>
    <w:rsid w:val="00865ECE"/>
    <w:rsid w:val="00892B80"/>
    <w:rsid w:val="00897DF3"/>
    <w:rsid w:val="008A2DBB"/>
    <w:rsid w:val="008B7316"/>
    <w:rsid w:val="008D0BEB"/>
    <w:rsid w:val="008D7194"/>
    <w:rsid w:val="008E47F8"/>
    <w:rsid w:val="008F5D2B"/>
    <w:rsid w:val="009013DB"/>
    <w:rsid w:val="00911751"/>
    <w:rsid w:val="0092074A"/>
    <w:rsid w:val="00927F32"/>
    <w:rsid w:val="00930B63"/>
    <w:rsid w:val="00934BC6"/>
    <w:rsid w:val="009438DC"/>
    <w:rsid w:val="00953C8B"/>
    <w:rsid w:val="00953E82"/>
    <w:rsid w:val="00971DF6"/>
    <w:rsid w:val="009738CA"/>
    <w:rsid w:val="00986BA6"/>
    <w:rsid w:val="009876B5"/>
    <w:rsid w:val="00993BE2"/>
    <w:rsid w:val="00995A16"/>
    <w:rsid w:val="00996066"/>
    <w:rsid w:val="009A6B30"/>
    <w:rsid w:val="009B1F24"/>
    <w:rsid w:val="009B2142"/>
    <w:rsid w:val="009B7478"/>
    <w:rsid w:val="009C2465"/>
    <w:rsid w:val="009C72B5"/>
    <w:rsid w:val="009C7575"/>
    <w:rsid w:val="009D043E"/>
    <w:rsid w:val="009D7806"/>
    <w:rsid w:val="009E2BDE"/>
    <w:rsid w:val="009E5485"/>
    <w:rsid w:val="009E7009"/>
    <w:rsid w:val="00A07E66"/>
    <w:rsid w:val="00A10998"/>
    <w:rsid w:val="00A131D9"/>
    <w:rsid w:val="00A22A31"/>
    <w:rsid w:val="00A261CE"/>
    <w:rsid w:val="00A27177"/>
    <w:rsid w:val="00A3469C"/>
    <w:rsid w:val="00A376C6"/>
    <w:rsid w:val="00A415E3"/>
    <w:rsid w:val="00A520E6"/>
    <w:rsid w:val="00A57907"/>
    <w:rsid w:val="00A635DC"/>
    <w:rsid w:val="00A941F3"/>
    <w:rsid w:val="00A977C9"/>
    <w:rsid w:val="00AB7438"/>
    <w:rsid w:val="00AB7C27"/>
    <w:rsid w:val="00AC5602"/>
    <w:rsid w:val="00AD3507"/>
    <w:rsid w:val="00AD3917"/>
    <w:rsid w:val="00AF5B3B"/>
    <w:rsid w:val="00B25DA1"/>
    <w:rsid w:val="00B34CEA"/>
    <w:rsid w:val="00B5359C"/>
    <w:rsid w:val="00B64BB3"/>
    <w:rsid w:val="00B74CB6"/>
    <w:rsid w:val="00B76917"/>
    <w:rsid w:val="00B83061"/>
    <w:rsid w:val="00B84B51"/>
    <w:rsid w:val="00B916C4"/>
    <w:rsid w:val="00BA52E6"/>
    <w:rsid w:val="00BB4F57"/>
    <w:rsid w:val="00BC296A"/>
    <w:rsid w:val="00BE43A5"/>
    <w:rsid w:val="00C046A1"/>
    <w:rsid w:val="00C17581"/>
    <w:rsid w:val="00C44539"/>
    <w:rsid w:val="00C46A1E"/>
    <w:rsid w:val="00C47ABD"/>
    <w:rsid w:val="00C55608"/>
    <w:rsid w:val="00C574BD"/>
    <w:rsid w:val="00C65DB9"/>
    <w:rsid w:val="00C8519B"/>
    <w:rsid w:val="00C96B1F"/>
    <w:rsid w:val="00CB4E91"/>
    <w:rsid w:val="00CC2FAC"/>
    <w:rsid w:val="00CF53FF"/>
    <w:rsid w:val="00D01D45"/>
    <w:rsid w:val="00D039BE"/>
    <w:rsid w:val="00D10750"/>
    <w:rsid w:val="00D2231A"/>
    <w:rsid w:val="00D31A75"/>
    <w:rsid w:val="00D41C21"/>
    <w:rsid w:val="00D42983"/>
    <w:rsid w:val="00D642DD"/>
    <w:rsid w:val="00D6642D"/>
    <w:rsid w:val="00D702B9"/>
    <w:rsid w:val="00D81CAD"/>
    <w:rsid w:val="00D92475"/>
    <w:rsid w:val="00DA44DF"/>
    <w:rsid w:val="00DA6F2C"/>
    <w:rsid w:val="00DB064F"/>
    <w:rsid w:val="00DC4308"/>
    <w:rsid w:val="00DF0150"/>
    <w:rsid w:val="00DF0919"/>
    <w:rsid w:val="00DF0FA4"/>
    <w:rsid w:val="00DF2681"/>
    <w:rsid w:val="00DF41EF"/>
    <w:rsid w:val="00DF7A5A"/>
    <w:rsid w:val="00E14DB7"/>
    <w:rsid w:val="00E234BB"/>
    <w:rsid w:val="00E25000"/>
    <w:rsid w:val="00E349FC"/>
    <w:rsid w:val="00E4320B"/>
    <w:rsid w:val="00E51464"/>
    <w:rsid w:val="00E53DC2"/>
    <w:rsid w:val="00E60BAE"/>
    <w:rsid w:val="00E6211B"/>
    <w:rsid w:val="00E829F9"/>
    <w:rsid w:val="00E90ABA"/>
    <w:rsid w:val="00E92C4D"/>
    <w:rsid w:val="00EA4CA2"/>
    <w:rsid w:val="00EA6B18"/>
    <w:rsid w:val="00EB15D2"/>
    <w:rsid w:val="00EC1F6A"/>
    <w:rsid w:val="00EC614C"/>
    <w:rsid w:val="00ED58C2"/>
    <w:rsid w:val="00EE1EC7"/>
    <w:rsid w:val="00EF024C"/>
    <w:rsid w:val="00F00C2D"/>
    <w:rsid w:val="00F133AA"/>
    <w:rsid w:val="00F135C1"/>
    <w:rsid w:val="00F2060E"/>
    <w:rsid w:val="00F240C3"/>
    <w:rsid w:val="00F262BD"/>
    <w:rsid w:val="00F319B3"/>
    <w:rsid w:val="00F34E14"/>
    <w:rsid w:val="00F355B2"/>
    <w:rsid w:val="00F54EB5"/>
    <w:rsid w:val="00F61711"/>
    <w:rsid w:val="00F61BFD"/>
    <w:rsid w:val="00F64916"/>
    <w:rsid w:val="00F71243"/>
    <w:rsid w:val="00F72FF6"/>
    <w:rsid w:val="00F7461A"/>
    <w:rsid w:val="00F949AA"/>
    <w:rsid w:val="00F957DA"/>
    <w:rsid w:val="00FA0239"/>
    <w:rsid w:val="00FA06C6"/>
    <w:rsid w:val="00FA4DB7"/>
    <w:rsid w:val="00FA5965"/>
    <w:rsid w:val="00FC4EC7"/>
    <w:rsid w:val="00FC63D1"/>
    <w:rsid w:val="00FD0099"/>
    <w:rsid w:val="00FF14AC"/>
    <w:rsid w:val="00FF1D84"/>
    <w:rsid w:val="00FF2B54"/>
    <w:rsid w:val="00FF32BB"/>
    <w:rsid w:val="02322A46"/>
    <w:rsid w:val="04DD5D12"/>
    <w:rsid w:val="0FEE2544"/>
    <w:rsid w:val="191F3932"/>
    <w:rsid w:val="33BA709B"/>
    <w:rsid w:val="368C0B2A"/>
    <w:rsid w:val="38860F24"/>
    <w:rsid w:val="3D890FC2"/>
    <w:rsid w:val="3F5050F8"/>
    <w:rsid w:val="3FC55A0B"/>
    <w:rsid w:val="4C121D12"/>
    <w:rsid w:val="5B51543D"/>
    <w:rsid w:val="632276B9"/>
    <w:rsid w:val="69C9180A"/>
    <w:rsid w:val="6F302651"/>
    <w:rsid w:val="764A6254"/>
    <w:rsid w:val="7AEE3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0"/>
    <w:qFormat/>
    <w:uiPriority w:val="9"/>
    <w:pPr>
      <w:keepNext/>
      <w:keepLines/>
      <w:spacing w:line="600" w:lineRule="exact"/>
      <w:ind w:firstLine="200" w:firstLineChars="200"/>
      <w:outlineLvl w:val="1"/>
    </w:pPr>
    <w:rPr>
      <w:rFonts w:ascii="Cambria" w:hAnsi="Cambria" w:eastAsia="楷体"/>
      <w:b/>
      <w:bCs/>
      <w:kern w:val="0"/>
      <w:sz w:val="32"/>
      <w:szCs w:val="32"/>
    </w:rPr>
  </w:style>
  <w:style w:type="paragraph" w:styleId="4">
    <w:name w:val="heading 3"/>
    <w:basedOn w:val="1"/>
    <w:next w:val="1"/>
    <w:link w:val="15"/>
    <w:qFormat/>
    <w:uiPriority w:val="0"/>
    <w:pPr>
      <w:keepNext/>
      <w:keepLines/>
      <w:widowControl/>
      <w:spacing w:beforeLines="20" w:afterLines="20"/>
      <w:jc w:val="left"/>
      <w:outlineLvl w:val="2"/>
    </w:pPr>
    <w:rPr>
      <w:rFonts w:ascii="宋体" w:hAnsi="宋体" w:eastAsia="方正仿宋简体" w:cs="宋体"/>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600" w:lineRule="exact"/>
      <w:jc w:val="center"/>
    </w:pPr>
    <w:rPr>
      <w:rFonts w:ascii="宋体" w:hAnsi="宋体"/>
      <w:b/>
      <w:bCs/>
      <w:sz w:val="36"/>
      <w:szCs w:val="36"/>
      <w:lang w:val="zh-CN"/>
    </w:rPr>
  </w:style>
  <w:style w:type="paragraph" w:styleId="10">
    <w:name w:val="toc 2"/>
    <w:basedOn w:val="1"/>
    <w:next w:val="1"/>
    <w:unhideWhenUsed/>
    <w:qFormat/>
    <w:uiPriority w:val="39"/>
    <w:pPr>
      <w:ind w:left="420" w:leftChars="200"/>
    </w:pPr>
  </w:style>
  <w:style w:type="table" w:styleId="12">
    <w:name w:val="Table Grid"/>
    <w:basedOn w:val="11"/>
    <w:qFormat/>
    <w:uiPriority w:val="0"/>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customStyle="1" w:styleId="15">
    <w:name w:val="标题 3 Char"/>
    <w:link w:val="4"/>
    <w:qFormat/>
    <w:uiPriority w:val="0"/>
    <w:rPr>
      <w:rFonts w:ascii="宋体" w:hAnsi="宋体" w:eastAsia="方正仿宋简体" w:cs="宋体"/>
      <w:bCs/>
      <w:sz w:val="32"/>
      <w:szCs w:val="32"/>
    </w:rPr>
  </w:style>
  <w:style w:type="character" w:customStyle="1" w:styleId="16">
    <w:name w:val="页眉 Char"/>
    <w:link w:val="8"/>
    <w:qFormat/>
    <w:uiPriority w:val="99"/>
    <w:rPr>
      <w:kern w:val="2"/>
      <w:sz w:val="18"/>
      <w:szCs w:val="18"/>
    </w:rPr>
  </w:style>
  <w:style w:type="character" w:customStyle="1" w:styleId="17">
    <w:name w:val="页脚 Char"/>
    <w:link w:val="7"/>
    <w:qFormat/>
    <w:uiPriority w:val="99"/>
    <w:rPr>
      <w:kern w:val="2"/>
      <w:sz w:val="18"/>
      <w:szCs w:val="18"/>
    </w:rPr>
  </w:style>
  <w:style w:type="character" w:customStyle="1" w:styleId="18">
    <w:name w:val="页脚 字符"/>
    <w:qFormat/>
    <w:uiPriority w:val="99"/>
    <w:rPr>
      <w:kern w:val="2"/>
      <w:sz w:val="18"/>
      <w:szCs w:val="18"/>
    </w:rPr>
  </w:style>
  <w:style w:type="character" w:customStyle="1" w:styleId="19">
    <w:name w:val="标题 1 Char"/>
    <w:link w:val="2"/>
    <w:qFormat/>
    <w:uiPriority w:val="9"/>
    <w:rPr>
      <w:rFonts w:eastAsia="黑体"/>
      <w:b/>
      <w:bCs/>
      <w:kern w:val="44"/>
      <w:sz w:val="32"/>
      <w:szCs w:val="44"/>
    </w:rPr>
  </w:style>
  <w:style w:type="character" w:customStyle="1" w:styleId="20">
    <w:name w:val="标题 2 Char"/>
    <w:link w:val="3"/>
    <w:qFormat/>
    <w:uiPriority w:val="9"/>
    <w:rPr>
      <w:rFonts w:ascii="Cambria" w:hAnsi="Cambria" w:eastAsia="楷体"/>
      <w:b/>
      <w:bCs/>
      <w:sz w:val="32"/>
      <w:szCs w:val="32"/>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22">
    <w:name w:val="批注框文本 Char"/>
    <w:basedOn w:val="13"/>
    <w:link w:val="6"/>
    <w:semiHidden/>
    <w:qFormat/>
    <w:uiPriority w:val="99"/>
    <w:rPr>
      <w:kern w:val="2"/>
      <w:sz w:val="18"/>
      <w:szCs w:val="18"/>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CA7B9-3302-4521-9EDF-8F12E3BAD4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6461</Words>
  <Characters>6712</Characters>
  <Lines>54</Lines>
  <Paragraphs>15</Paragraphs>
  <TotalTime>127</TotalTime>
  <ScaleCrop>false</ScaleCrop>
  <LinksUpToDate>false</LinksUpToDate>
  <CharactersWithSpaces>6965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2022-12-22T12:44:00Z</dcterms:created>
  <dc:creator>刘丹玲</dc:creator>
  <cp:lastModifiedBy>Administrator</cp:lastModifiedBy>
  <cp:lastPrinted>2022-05-03T02:14:00Z</cp:lastPrinted>
  <dcterms:modified xsi:type="dcterms:W3CDTF">2023-04-06T09:25:31Z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1B4E8A75F22E42B49A9E534A9C0304C3</vt:lpwstr>
  </property>
</Properties>
</file>