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4" w:lineRule="auto"/>
        <w:rPr>
          <w:rFonts w:hint="default" w:ascii="Times New Roman" w:hAnsi="Times New Roman" w:cs="Times New Roman"/>
          <w:b w:val="0"/>
          <w:bCs w:val="0"/>
        </w:rPr>
      </w:pPr>
    </w:p>
    <w:p>
      <w:pPr>
        <w:pStyle w:val="2"/>
        <w:rPr>
          <w:rFonts w:hint="default" w:ascii="Times New Roman" w:hAnsi="Times New Roman" w:cs="Times New Roman"/>
          <w:b w:val="0"/>
          <w:bCs w:val="0"/>
        </w:rPr>
      </w:pPr>
    </w:p>
    <w:p>
      <w:pPr>
        <w:jc w:val="center"/>
        <w:rPr>
          <w:rFonts w:hint="default" w:ascii="Times New Roman" w:hAnsi="Times New Roman" w:eastAsia="黑体" w:cs="Times New Roman"/>
          <w:b w:val="0"/>
          <w:bCs w:val="0"/>
          <w:sz w:val="52"/>
          <w:szCs w:val="72"/>
        </w:rPr>
      </w:pPr>
      <w:bookmarkStart w:id="0" w:name="_Toc102656633"/>
      <w:bookmarkStart w:id="1" w:name="_Toc32495"/>
      <w:r>
        <w:rPr>
          <w:rFonts w:hint="default" w:ascii="Times New Roman" w:hAnsi="Times New Roman" w:eastAsia="黑体" w:cs="Times New Roman"/>
          <w:b w:val="0"/>
          <w:bCs w:val="0"/>
          <w:sz w:val="52"/>
          <w:szCs w:val="72"/>
        </w:rPr>
        <w:t>学位授权点建设年度报告</w:t>
      </w:r>
      <w:bookmarkEnd w:id="0"/>
      <w:bookmarkEnd w:id="1"/>
    </w:p>
    <w:p>
      <w:pPr>
        <w:spacing w:before="240" w:beforeLines="100" w:line="360" w:lineRule="auto"/>
        <w:jc w:val="center"/>
        <w:rPr>
          <w:rFonts w:hint="default" w:ascii="Times New Roman" w:hAnsi="Times New Roman" w:eastAsia="楷体" w:cs="Times New Roman"/>
          <w:b w:val="0"/>
          <w:bCs w:val="0"/>
          <w:sz w:val="28"/>
          <w:szCs w:val="28"/>
        </w:rPr>
      </w:pPr>
      <w:bookmarkStart w:id="2" w:name="_Toc102656634"/>
      <w:bookmarkStart w:id="3" w:name="_Toc22733"/>
      <w:r>
        <w:rPr>
          <w:rFonts w:hint="default" w:ascii="Times New Roman" w:hAnsi="Times New Roman" w:eastAsia="楷体" w:cs="Times New Roman"/>
          <w:b w:val="0"/>
          <w:bCs w:val="0"/>
          <w:sz w:val="28"/>
          <w:szCs w:val="28"/>
        </w:rPr>
        <w:t>（2022年）</w:t>
      </w:r>
      <w:bookmarkEnd w:id="2"/>
      <w:bookmarkEnd w:id="3"/>
    </w:p>
    <w:p>
      <w:pPr>
        <w:spacing w:line="256" w:lineRule="auto"/>
        <w:rPr>
          <w:rFonts w:hint="default" w:ascii="Times New Roman" w:hAnsi="Times New Roman" w:cs="Times New Roman"/>
          <w:b w:val="0"/>
          <w:bCs w:val="0"/>
        </w:rPr>
      </w:pPr>
    </w:p>
    <w:p>
      <w:pPr>
        <w:spacing w:line="256" w:lineRule="auto"/>
        <w:rPr>
          <w:rFonts w:hint="default" w:ascii="Times New Roman" w:hAnsi="Times New Roman" w:cs="Times New Roman"/>
          <w:b w:val="0"/>
          <w:bCs w:val="0"/>
        </w:rPr>
      </w:pPr>
    </w:p>
    <w:p>
      <w:pPr>
        <w:spacing w:line="256" w:lineRule="auto"/>
        <w:rPr>
          <w:rFonts w:hint="default" w:ascii="Times New Roman" w:hAnsi="Times New Roman" w:cs="Times New Roman"/>
          <w:b w:val="0"/>
          <w:bCs w:val="0"/>
        </w:rPr>
      </w:pPr>
    </w:p>
    <w:p>
      <w:pPr>
        <w:spacing w:line="256" w:lineRule="auto"/>
        <w:rPr>
          <w:rFonts w:hint="default" w:ascii="Times New Roman" w:hAnsi="Times New Roman" w:cs="Times New Roman"/>
          <w:b w:val="0"/>
          <w:bCs w:val="0"/>
        </w:rPr>
      </w:pPr>
    </w:p>
    <w:p>
      <w:pPr>
        <w:pStyle w:val="2"/>
        <w:jc w:val="both"/>
        <w:rPr>
          <w:rFonts w:hint="default" w:ascii="Times New Roman" w:hAnsi="Times New Roman" w:cs="Times New Roman"/>
          <w:b w:val="0"/>
          <w:bCs w:val="0"/>
        </w:rPr>
      </w:pPr>
    </w:p>
    <w:p>
      <w:pPr>
        <w:spacing w:line="257" w:lineRule="auto"/>
        <w:rPr>
          <w:rFonts w:hint="default" w:ascii="Times New Roman" w:hAnsi="Times New Roman" w:cs="Times New Roman"/>
          <w:b w:val="0"/>
          <w:bCs w:val="0"/>
        </w:rPr>
      </w:pPr>
    </w:p>
    <w:p>
      <w:pPr>
        <w:spacing w:line="500" w:lineRule="exact"/>
        <w:jc w:val="both"/>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p>
    <w:tbl>
      <w:tblPr>
        <w:tblStyle w:val="13"/>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pPr>
              <w:spacing w:line="500" w:lineRule="exact"/>
              <w:jc w:val="distribute"/>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学位授予单位</w:t>
            </w:r>
          </w:p>
        </w:tc>
        <w:tc>
          <w:tcPr>
            <w:tcW w:w="2880" w:type="dxa"/>
            <w:tcBorders>
              <w:bottom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名称：</w:t>
            </w:r>
            <w:r>
              <w:rPr>
                <w:rFonts w:hint="default" w:ascii="Times New Roman" w:hAnsi="Times New Roman" w:eastAsia="楷体_GB2312" w:cs="Times New Roman"/>
                <w:b w:val="0"/>
                <w:bCs w:val="0"/>
                <w:color w:val="000000" w:themeColor="text1"/>
                <w:sz w:val="30"/>
                <w:szCs w:val="30"/>
                <w14:textFill>
                  <w14:solidFill>
                    <w14:schemeClr w14:val="tx1"/>
                  </w14:solidFill>
                </w14:textFill>
              </w:rPr>
              <w:t>福建农林大学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continue"/>
          </w:tcPr>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tc>
        <w:tc>
          <w:tcPr>
            <w:tcW w:w="2880" w:type="dxa"/>
            <w:tcBorders>
              <w:top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代码：</w:t>
            </w:r>
            <w:r>
              <w:rPr>
                <w:rFonts w:hint="default" w:ascii="Times New Roman" w:hAnsi="Times New Roman" w:eastAsia="楷体_GB2312" w:cs="Times New Roman"/>
                <w:b w:val="0"/>
                <w:bCs w:val="0"/>
                <w:color w:val="000000" w:themeColor="text1"/>
                <w:sz w:val="30"/>
                <w:szCs w:val="30"/>
                <w14:textFill>
                  <w14:solidFill>
                    <w14:schemeClr w14:val="tx1"/>
                  </w14:solidFill>
                </w14:textFill>
              </w:rPr>
              <w:t>10389</w:t>
            </w:r>
          </w:p>
        </w:tc>
      </w:tr>
    </w:tbl>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tbl>
      <w:tblPr>
        <w:tblStyle w:val="13"/>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500" w:lineRule="exact"/>
              <w:jc w:val="distribute"/>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授权</w:t>
            </w:r>
            <w:r>
              <w:rPr>
                <w:rFonts w:hint="default" w:ascii="Times New Roman" w:hAnsi="Times New Roman" w:eastAsia="楷体_GB2312" w:cs="Times New Roman"/>
                <w:b w:val="0"/>
                <w:bCs w:val="0"/>
                <w:color w:val="000000" w:themeColor="text1"/>
                <w:sz w:val="30"/>
                <w:szCs w:val="30"/>
                <w14:textFill>
                  <w14:solidFill>
                    <w14:schemeClr w14:val="tx1"/>
                  </w14:solidFill>
                </w14:textFill>
              </w:rPr>
              <w:t>学科</w:t>
            </w:r>
          </w:p>
          <w:p>
            <w:pPr>
              <w:spacing w:line="500" w:lineRule="exact"/>
              <w:jc w:val="distribute"/>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（类别）</w:t>
            </w:r>
          </w:p>
        </w:tc>
        <w:tc>
          <w:tcPr>
            <w:tcW w:w="2880" w:type="dxa"/>
            <w:tcBorders>
              <w:bottom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名称：</w:t>
            </w:r>
            <w:r>
              <w:rPr>
                <w:rFonts w:hint="default" w:ascii="Times New Roman" w:hAnsi="Times New Roman" w:eastAsia="楷体_GB2312" w:cs="Times New Roman"/>
                <w:b w:val="0"/>
                <w:bCs w:val="0"/>
                <w:color w:val="000000" w:themeColor="text1"/>
                <w:sz w:val="30"/>
                <w:szCs w:val="30"/>
                <w14:textFill>
                  <w14:solidFill>
                    <w14:schemeClr w14:val="tx1"/>
                  </w14:solidFill>
                </w14:textFill>
              </w:rPr>
              <w:t>公共管理学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tc>
        <w:tc>
          <w:tcPr>
            <w:tcW w:w="2880" w:type="dxa"/>
            <w:tcBorders>
              <w:top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代码：</w:t>
            </w:r>
            <w:r>
              <w:rPr>
                <w:rFonts w:hint="default" w:ascii="Times New Roman" w:hAnsi="Times New Roman" w:eastAsia="楷体_GB2312" w:cs="Times New Roman"/>
                <w:b w:val="0"/>
                <w:bCs w:val="0"/>
                <w:color w:val="000000" w:themeColor="text1"/>
                <w:sz w:val="30"/>
                <w:szCs w:val="30"/>
                <w14:textFill>
                  <w14:solidFill>
                    <w14:schemeClr w14:val="tx1"/>
                  </w14:solidFill>
                </w14:textFill>
              </w:rPr>
              <w:t>1204</w:t>
            </w:r>
          </w:p>
        </w:tc>
      </w:tr>
    </w:tbl>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tbl>
      <w:tblPr>
        <w:tblStyle w:val="13"/>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500" w:lineRule="exact"/>
              <w:jc w:val="distribute"/>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授权级别</w:t>
            </w:r>
          </w:p>
        </w:tc>
        <w:tc>
          <w:tcPr>
            <w:tcW w:w="2880" w:type="dxa"/>
            <w:tcBorders>
              <w:bottom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tc>
        <w:tc>
          <w:tcPr>
            <w:tcW w:w="2880" w:type="dxa"/>
            <w:tcBorders>
              <w:top w:val="single" w:color="auto" w:sz="4" w:space="0"/>
            </w:tcBorders>
            <w:vAlign w:val="center"/>
          </w:tcPr>
          <w:p>
            <w:pPr>
              <w:spacing w:line="500" w:lineRule="exact"/>
              <w:rPr>
                <w:rFonts w:hint="default" w:ascii="Times New Roman" w:hAnsi="Times New Roman" w:eastAsia="楷体_GB2312" w:cs="Times New Roman"/>
                <w:b w:val="0"/>
                <w:bCs w:val="0"/>
                <w:color w:val="000000" w:themeColor="text1"/>
                <w:sz w:val="30"/>
                <w:szCs w:val="30"/>
                <w14:textFill>
                  <w14:solidFill>
                    <w14:schemeClr w14:val="tx1"/>
                  </w14:solidFill>
                </w14:textFill>
              </w:rPr>
            </w:pPr>
            <w:r>
              <w:rPr>
                <w:rFonts w:hint="default" w:ascii="Times New Roman" w:hAnsi="Times New Roman" w:eastAsia="楷体_GB2312" w:cs="Times New Roman"/>
                <w:b w:val="0"/>
                <w:bCs w:val="0"/>
                <w:color w:val="000000" w:themeColor="text1"/>
                <w:sz w:val="30"/>
                <w:szCs w:val="30"/>
                <w14:textFill>
                  <w14:solidFill>
                    <w14:schemeClr w14:val="tx1"/>
                  </w14:solidFill>
                </w14:textFill>
              </w:rPr>
              <w:sym w:font="Wingdings 2" w:char="0052"/>
            </w:r>
            <w:r>
              <w:rPr>
                <w:rFonts w:hint="default" w:ascii="Times New Roman" w:hAnsi="Times New Roman" w:eastAsia="楷体_GB2312" w:cs="Times New Roman"/>
                <w:b w:val="0"/>
                <w:bCs w:val="0"/>
                <w:color w:val="000000" w:themeColor="text1"/>
                <w:sz w:val="30"/>
                <w:szCs w:val="30"/>
                <w14:textFill>
                  <w14:solidFill>
                    <w14:schemeClr w14:val="tx1"/>
                  </w14:solidFill>
                </w14:textFill>
              </w:rPr>
              <w:t xml:space="preserve">  硕  士</w:t>
            </w:r>
          </w:p>
        </w:tc>
      </w:tr>
    </w:tbl>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jc w:val="both"/>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spacing w:line="500" w:lineRule="exact"/>
        <w:jc w:val="center"/>
        <w:rPr>
          <w:rFonts w:hint="default" w:ascii="Times New Roman" w:hAnsi="Times New Roman" w:eastAsia="楷体_GB2312" w:cs="Times New Roman"/>
          <w:b w:val="0"/>
          <w:bCs w:val="0"/>
          <w:color w:val="000000" w:themeColor="text1"/>
          <w:sz w:val="30"/>
          <w:szCs w:val="30"/>
          <w14:textFill>
            <w14:solidFill>
              <w14:schemeClr w14:val="tx1"/>
            </w14:solidFill>
          </w14:textFill>
        </w:rPr>
      </w:pPr>
      <w:bookmarkStart w:id="4" w:name="_Toc834"/>
      <w:bookmarkStart w:id="5" w:name="_Toc102656635"/>
      <w:r>
        <w:rPr>
          <w:rFonts w:hint="default" w:ascii="Times New Roman" w:hAnsi="Times New Roman" w:eastAsia="楷体_GB2312" w:cs="Times New Roman"/>
          <w:b w:val="0"/>
          <w:bCs w:val="0"/>
          <w:color w:val="000000" w:themeColor="text1"/>
          <w:sz w:val="30"/>
          <w:szCs w:val="30"/>
          <w14:textFill>
            <w14:solidFill>
              <w14:schemeClr w14:val="tx1"/>
            </w14:solidFill>
          </w14:textFill>
        </w:rPr>
        <w:t>20</w:t>
      </w:r>
      <w:r>
        <w:rPr>
          <w:rFonts w:hint="default" w:ascii="Times New Roman" w:hAnsi="Times New Roman" w:eastAsia="楷体_GB2312" w:cs="Times New Roman"/>
          <w:b w:val="0"/>
          <w:bCs w:val="0"/>
          <w:color w:val="000000" w:themeColor="text1"/>
          <w:sz w:val="30"/>
          <w:szCs w:val="30"/>
          <w14:textFill>
            <w14:solidFill>
              <w14:schemeClr w14:val="tx1"/>
            </w14:solidFill>
          </w14:textFill>
        </w:rPr>
        <w:t>22</w:t>
      </w:r>
      <w:r>
        <w:rPr>
          <w:rFonts w:hint="default" w:ascii="Times New Roman" w:hAnsi="Times New Roman" w:eastAsia="楷体_GB2312" w:cs="Times New Roman"/>
          <w:b w:val="0"/>
          <w:bCs w:val="0"/>
          <w:color w:val="000000" w:themeColor="text1"/>
          <w:sz w:val="30"/>
          <w:szCs w:val="30"/>
          <w14:textFill>
            <w14:solidFill>
              <w14:schemeClr w14:val="tx1"/>
            </w14:solidFill>
          </w14:textFill>
        </w:rPr>
        <w:t>年</w:t>
      </w:r>
      <w:r>
        <w:rPr>
          <w:rFonts w:hint="default" w:ascii="Times New Roman" w:hAnsi="Times New Roman" w:eastAsia="楷体_GB2312" w:cs="Times New Roman"/>
          <w:b w:val="0"/>
          <w:bCs w:val="0"/>
          <w:color w:val="000000" w:themeColor="text1"/>
          <w:sz w:val="30"/>
          <w:szCs w:val="30"/>
          <w14:textFill>
            <w14:solidFill>
              <w14:schemeClr w14:val="tx1"/>
            </w14:solidFill>
          </w14:textFill>
        </w:rPr>
        <w:t>12</w:t>
      </w:r>
      <w:r>
        <w:rPr>
          <w:rFonts w:hint="default" w:ascii="Times New Roman" w:hAnsi="Times New Roman" w:eastAsia="楷体_GB2312" w:cs="Times New Roman"/>
          <w:b w:val="0"/>
          <w:bCs w:val="0"/>
          <w:color w:val="000000" w:themeColor="text1"/>
          <w:sz w:val="30"/>
          <w:szCs w:val="30"/>
          <w14:textFill>
            <w14:solidFill>
              <w14:schemeClr w14:val="tx1"/>
            </w14:solidFill>
          </w14:textFill>
        </w:rPr>
        <w:t>月</w:t>
      </w:r>
      <w:r>
        <w:rPr>
          <w:rFonts w:hint="default" w:ascii="Times New Roman" w:hAnsi="Times New Roman" w:eastAsia="楷体_GB2312" w:cs="Times New Roman"/>
          <w:b w:val="0"/>
          <w:bCs w:val="0"/>
          <w:color w:val="000000" w:themeColor="text1"/>
          <w:sz w:val="30"/>
          <w:szCs w:val="30"/>
          <w:lang w:val="en-US" w:eastAsia="zh-CN"/>
          <w14:textFill>
            <w14:solidFill>
              <w14:schemeClr w14:val="tx1"/>
            </w14:solidFill>
          </w14:textFill>
        </w:rPr>
        <w:t>3</w:t>
      </w:r>
      <w:r>
        <w:rPr>
          <w:rFonts w:hint="default" w:ascii="Times New Roman" w:hAnsi="Times New Roman" w:eastAsia="楷体_GB2312" w:cs="Times New Roman"/>
          <w:b w:val="0"/>
          <w:bCs w:val="0"/>
          <w:color w:val="000000" w:themeColor="text1"/>
          <w:sz w:val="30"/>
          <w:szCs w:val="30"/>
          <w14:textFill>
            <w14:solidFill>
              <w14:schemeClr w14:val="tx1"/>
            </w14:solidFill>
          </w14:textFill>
        </w:rPr>
        <w:t>0日</w:t>
      </w:r>
      <w:bookmarkEnd w:id="4"/>
      <w:bookmarkEnd w:id="5"/>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p>
      <w:pPr>
        <w:pStyle w:val="2"/>
        <w:rPr>
          <w:rFonts w:hint="default" w:ascii="Times New Roman" w:hAnsi="Times New Roman" w:eastAsia="楷体_GB2312" w:cs="Times New Roman"/>
          <w:b w:val="0"/>
          <w:bCs w:val="0"/>
          <w:color w:val="000000" w:themeColor="text1"/>
          <w:sz w:val="30"/>
          <w:szCs w:val="30"/>
          <w14:textFill>
            <w14:solidFill>
              <w14:schemeClr w14:val="tx1"/>
            </w14:solidFill>
          </w14:textFill>
        </w:rPr>
      </w:pPr>
    </w:p>
    <w:sdt>
      <w:sdtPr>
        <w:rPr>
          <w:rFonts w:hint="default" w:ascii="Times New Roman" w:hAnsi="Times New Roman" w:eastAsia="宋体" w:cs="Times New Roman"/>
          <w:b w:val="0"/>
          <w:bCs w:val="0"/>
          <w:snapToGrid/>
          <w:sz w:val="44"/>
          <w:szCs w:val="44"/>
        </w:rPr>
        <w:id w:val="147458148"/>
        <w15:color w:val="DBDBDB"/>
        <w:docPartObj>
          <w:docPartGallery w:val="Table of Contents"/>
          <w:docPartUnique/>
        </w:docPartObj>
      </w:sdtPr>
      <w:sdtEndPr>
        <w:rPr>
          <w:rFonts w:hint="default" w:ascii="Times New Roman" w:hAnsi="Times New Roman" w:eastAsia="仿宋" w:cs="Times New Roman"/>
          <w:b w:val="0"/>
          <w:bCs w:val="0"/>
          <w:snapToGrid w:val="0"/>
          <w:color w:val="000000" w:themeColor="text1"/>
          <w:sz w:val="44"/>
          <w:szCs w:val="30"/>
          <w14:textFill>
            <w14:solidFill>
              <w14:schemeClr w14:val="tx1"/>
            </w14:solidFill>
          </w14:textFill>
        </w:rPr>
      </w:sdtEndPr>
      <w:sdtContent>
        <w:p>
          <w:pPr>
            <w:widowControl w:val="0"/>
            <w:kinsoku/>
            <w:autoSpaceDE/>
            <w:autoSpaceDN/>
            <w:snapToGrid/>
            <w:jc w:val="center"/>
            <w:rPr>
              <w:rFonts w:hint="default" w:ascii="Times New Roman" w:hAnsi="Times New Roman" w:eastAsia="宋体" w:cs="Times New Roman"/>
              <w:b w:val="0"/>
              <w:bCs w:val="0"/>
              <w:snapToGrid/>
              <w:sz w:val="44"/>
              <w:szCs w:val="44"/>
            </w:rPr>
          </w:pPr>
          <w:r>
            <w:rPr>
              <w:rFonts w:hint="default" w:ascii="Times New Roman" w:hAnsi="Times New Roman" w:eastAsia="宋体" w:cs="Times New Roman"/>
              <w:b w:val="0"/>
              <w:bCs w:val="0"/>
              <w:snapToGrid/>
              <w:sz w:val="44"/>
              <w:szCs w:val="44"/>
            </w:rPr>
            <w:t>目</w:t>
          </w:r>
          <w:r>
            <w:rPr>
              <w:rFonts w:hint="default" w:ascii="Times New Roman" w:hAnsi="Times New Roman" w:eastAsia="宋体" w:cs="Times New Roman"/>
              <w:b w:val="0"/>
              <w:bCs w:val="0"/>
              <w:snapToGrid/>
              <w:sz w:val="44"/>
              <w:szCs w:val="44"/>
            </w:rPr>
            <w:t xml:space="preserve"> </w:t>
          </w:r>
          <w:r>
            <w:rPr>
              <w:rFonts w:hint="default" w:ascii="Times New Roman" w:hAnsi="Times New Roman" w:eastAsia="宋体" w:cs="Times New Roman"/>
              <w:b w:val="0"/>
              <w:bCs w:val="0"/>
              <w:snapToGrid/>
              <w:sz w:val="44"/>
              <w:szCs w:val="44"/>
            </w:rPr>
            <w:t>录</w:t>
          </w:r>
        </w:p>
        <w:p>
          <w:pPr>
            <w:pStyle w:val="10"/>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eastAsia="仿宋" w:cs="Times New Roman"/>
              <w:b w:val="0"/>
              <w:bCs w:val="0"/>
              <w:snapToGrid/>
              <w:color w:val="000000" w:themeColor="text1"/>
              <w:sz w:val="28"/>
              <w:szCs w:val="28"/>
              <w14:textFill>
                <w14:solidFill>
                  <w14:schemeClr w14:val="tx1"/>
                </w14:solidFill>
              </w14:textFill>
            </w:rPr>
            <w:fldChar w:fldCharType="begin"/>
          </w:r>
          <w:r>
            <w:rPr>
              <w:rFonts w:hint="default" w:ascii="Times New Roman" w:hAnsi="Times New Roman" w:eastAsia="仿宋" w:cs="Times New Roman"/>
              <w:b w:val="0"/>
              <w:bCs w:val="0"/>
              <w:color w:val="000000" w:themeColor="text1"/>
              <w:sz w:val="28"/>
              <w:szCs w:val="28"/>
              <w14:textFill>
                <w14:solidFill>
                  <w14:schemeClr w14:val="tx1"/>
                </w14:solidFill>
              </w14:textFill>
            </w:rPr>
            <w:instrText xml:space="preserve">TOC \o "1-3" \h \u </w:instrText>
          </w:r>
          <w:r>
            <w:rPr>
              <w:rFonts w:hint="default" w:ascii="Times New Roman" w:hAnsi="Times New Roman" w:eastAsia="仿宋" w:cs="Times New Roman"/>
              <w:b w:val="0"/>
              <w:bCs w:val="0"/>
              <w:snapToGrid/>
              <w:color w:val="000000" w:themeColor="text1"/>
              <w:sz w:val="28"/>
              <w:szCs w:val="28"/>
              <w14:textFill>
                <w14:solidFill>
                  <w14:schemeClr w14:val="tx1"/>
                </w14:solidFill>
              </w14:textFill>
            </w:rPr>
            <w:fldChar w:fldCharType="separate"/>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"_Toc20242" </w:instrText>
          </w:r>
          <w:r>
            <w:rPr>
              <w:rFonts w:hint="default" w:ascii="Times New Roman" w:hAnsi="Times New Roman" w:cs="Times New Roman"/>
              <w:b w:val="0"/>
              <w:bCs w:val="0"/>
            </w:rPr>
            <w:fldChar w:fldCharType="separate"/>
          </w:r>
          <w:r>
            <w:rPr>
              <w:rFonts w:hint="default" w:ascii="Times New Roman" w:hAnsi="Times New Roman" w:eastAsia="黑体" w:cs="Times New Roman"/>
              <w:b w:val="0"/>
              <w:bCs w:val="0"/>
              <w:sz w:val="28"/>
              <w:szCs w:val="28"/>
            </w:rPr>
            <w:t>一、学位授权点基本情况</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_Toc20242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"_Toc4253"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（一）基本概况</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_Toc4253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"_Toc6546"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（二）目标与标准</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_Toc6546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"_Toc26788"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1.</w:t>
          </w:r>
          <w:r>
            <w:rPr>
              <w:rFonts w:hint="default" w:ascii="Times New Roman" w:hAnsi="Times New Roman" w:eastAsia="仿宋" w:cs="Times New Roman"/>
              <w:b w:val="0"/>
              <w:bCs w:val="0"/>
              <w:sz w:val="28"/>
              <w:szCs w:val="28"/>
              <w:lang w:val="zh-CN"/>
            </w:rPr>
            <w:t>培养目标</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_Toc26788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"_Toc1418"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lang w:val="zh-CN"/>
            </w:rPr>
            <w:t>2.学位标准</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_Toc1418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"_Toc30901"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（三）基本条件</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_Toc30901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"_Toc18705"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1.培养方向</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_Toc18705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"_Toc1042"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2.师资队伍</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_Toc1042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4</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"_Toc4547"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3.</w:t>
          </w:r>
          <w:r>
            <w:rPr>
              <w:rFonts w:hint="default" w:ascii="Times New Roman" w:hAnsi="Times New Roman" w:eastAsia="仿宋" w:cs="Times New Roman"/>
              <w:b w:val="0"/>
              <w:bCs w:val="0"/>
              <w:sz w:val="28"/>
              <w:szCs w:val="28"/>
              <w:lang w:val="zh-CN"/>
            </w:rPr>
            <w:t>科学研究</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_Toc4547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5</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"_Toc9157"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4.</w:t>
          </w:r>
          <w:r>
            <w:rPr>
              <w:rFonts w:hint="default" w:ascii="Times New Roman" w:hAnsi="Times New Roman" w:eastAsia="仿宋" w:cs="Times New Roman"/>
              <w:b w:val="0"/>
              <w:bCs w:val="0"/>
              <w:sz w:val="28"/>
              <w:szCs w:val="28"/>
              <w:lang w:val="zh-CN"/>
            </w:rPr>
            <w:t>教学科研支撑</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_Toc9157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6</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"_Toc5875"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5.</w:t>
          </w:r>
          <w:r>
            <w:rPr>
              <w:rFonts w:hint="default" w:ascii="Times New Roman" w:hAnsi="Times New Roman" w:eastAsia="仿宋" w:cs="Times New Roman"/>
              <w:b w:val="0"/>
              <w:bCs w:val="0"/>
              <w:sz w:val="28"/>
              <w:szCs w:val="28"/>
              <w:lang w:val="zh-CN"/>
            </w:rPr>
            <w:t>资助体系</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_Toc5875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7</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"_Toc29307"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6.管理服务</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_Toc29307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8</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"_Toc28315"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（四）人才培养</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_Toc28315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9</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"_Toc1091"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1.思想政治教育</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_Toc1091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9</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"_Toc17058"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2.师德师风建设</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_Toc17058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10</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"_Toc28978"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3.招生选拔</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_Toc28978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"_Toc12650"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4.课程教学</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_Toc12650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"_Toc12859"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5.导师管理</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_Toc12859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15</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"_Toc15307"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6.学术训练</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_Toc15307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16</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"_Toc18881"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（五）质量监控</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_Toc18881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17</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"_Toc29667"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1.分流淘汰</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_Toc29667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17</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"_Toc15778"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2.学位论文</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_Toc15778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17</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"_Toc31586"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3.学风教育</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_Toc31586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18</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6"/>
            <w:tabs>
              <w:tab w:val="right" w:leader="dot" w:pos="8448"/>
            </w:tabs>
            <w:snapToGrid/>
            <w:spacing w:line="500" w:lineRule="exact"/>
            <w:ind w:left="1155" w:leftChars="550"/>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"_Toc22234" </w:instrText>
          </w:r>
          <w:r>
            <w:rPr>
              <w:rFonts w:hint="default" w:ascii="Times New Roman" w:hAnsi="Times New Roman" w:cs="Times New Roman"/>
              <w:b w:val="0"/>
              <w:bCs w:val="0"/>
            </w:rPr>
            <w:fldChar w:fldCharType="separate"/>
          </w:r>
          <w:r>
            <w:rPr>
              <w:rFonts w:hint="default" w:ascii="Times New Roman" w:hAnsi="Times New Roman" w:eastAsia="仿宋" w:cs="Times New Roman"/>
              <w:b w:val="0"/>
              <w:bCs w:val="0"/>
              <w:sz w:val="28"/>
              <w:szCs w:val="28"/>
            </w:rPr>
            <w:t>4.就业发展</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_Toc22234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20</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0"/>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"_Toc5435" </w:instrText>
          </w:r>
          <w:r>
            <w:rPr>
              <w:rFonts w:hint="default" w:ascii="Times New Roman" w:hAnsi="Times New Roman" w:cs="Times New Roman"/>
              <w:b w:val="0"/>
              <w:bCs w:val="0"/>
            </w:rPr>
            <w:fldChar w:fldCharType="separate"/>
          </w:r>
          <w:r>
            <w:rPr>
              <w:rFonts w:hint="default" w:ascii="Times New Roman" w:hAnsi="Times New Roman" w:eastAsia="黑体" w:cs="Times New Roman"/>
              <w:b w:val="0"/>
              <w:bCs w:val="0"/>
              <w:sz w:val="28"/>
              <w:szCs w:val="28"/>
            </w:rPr>
            <w:t>二、工作特色与成效</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_Toc5435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20</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"_Toc31464"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（一）考核培训并举，提升导师立德树人能力</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_Toc31464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20</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"_Toc28134"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（二）改进招生方式，保证生源质量</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_Toc28134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"_Toc21905"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（三）推进社会服务、科学研究与教学相互融合</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_Toc21905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21</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"_Toc5774"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（四）完善质量保障体系建设，走内涵式发展道路</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_Toc5774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0"/>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"_Toc32204" </w:instrText>
          </w:r>
          <w:r>
            <w:rPr>
              <w:rFonts w:hint="default" w:ascii="Times New Roman" w:hAnsi="Times New Roman" w:cs="Times New Roman"/>
              <w:b w:val="0"/>
              <w:bCs w:val="0"/>
            </w:rPr>
            <w:fldChar w:fldCharType="separate"/>
          </w:r>
          <w:r>
            <w:rPr>
              <w:rFonts w:hint="default" w:ascii="Times New Roman" w:hAnsi="Times New Roman" w:eastAsia="黑体" w:cs="Times New Roman"/>
              <w:b w:val="0"/>
              <w:bCs w:val="0"/>
              <w:sz w:val="28"/>
              <w:szCs w:val="28"/>
            </w:rPr>
            <w:t>三、学位点建设存在的主要问题和不足</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_Toc32204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"_Toc21222"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（一）学科特色不够鲜明</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_Toc21222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"_Toc22217"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（二）对外开放办学广度和深度不够</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_Toc22217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22</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0"/>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"_Toc5758" </w:instrText>
          </w:r>
          <w:r>
            <w:rPr>
              <w:rFonts w:hint="default" w:ascii="Times New Roman" w:hAnsi="Times New Roman" w:cs="Times New Roman"/>
              <w:b w:val="0"/>
              <w:bCs w:val="0"/>
            </w:rPr>
            <w:fldChar w:fldCharType="separate"/>
          </w:r>
          <w:r>
            <w:rPr>
              <w:rFonts w:hint="default" w:ascii="Times New Roman" w:hAnsi="Times New Roman" w:eastAsia="黑体" w:cs="Times New Roman"/>
              <w:b w:val="0"/>
              <w:bCs w:val="0"/>
              <w:sz w:val="28"/>
              <w:szCs w:val="28"/>
            </w:rPr>
            <w:t>四、下一年度建设计划</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_Toc5758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"_Toc13940"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（一）优化布局结构，加强学科建设，提升学科整体实力</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_Toc13940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"_Toc13764"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（二）</w:t>
          </w:r>
          <w:r>
            <w:rPr>
              <w:rFonts w:hint="default" w:ascii="Times New Roman" w:hAnsi="Times New Roman" w:eastAsia="华文楷体" w:cs="Times New Roman"/>
              <w:b w:val="0"/>
              <w:bCs w:val="0"/>
              <w:sz w:val="28"/>
              <w:szCs w:val="28"/>
            </w:rPr>
            <w:t>夯实育人之基，建设高素质创新型师资队伍</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_Toc13764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23</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"_Toc25836"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（三）</w:t>
          </w:r>
          <w:r>
            <w:rPr>
              <w:rFonts w:hint="default" w:ascii="Times New Roman" w:hAnsi="Times New Roman" w:eastAsia="楷体" w:cs="Times New Roman"/>
              <w:b w:val="0"/>
              <w:bCs w:val="0"/>
              <w:sz w:val="28"/>
              <w:szCs w:val="28"/>
            </w:rPr>
            <w:t>着力提升立德树人成效，构建有特色高水平人才培养体系</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_Toc25836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24</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11"/>
            <w:tabs>
              <w:tab w:val="right" w:leader="dot" w:pos="8448"/>
            </w:tabs>
            <w:snapToGrid/>
            <w:spacing w:line="500" w:lineRule="exact"/>
            <w:rPr>
              <w:rFonts w:hint="default" w:ascii="Times New Roman" w:hAnsi="Times New Roman" w:cs="Times New Roman"/>
              <w:b w:val="0"/>
              <w:bCs w:val="0"/>
              <w:sz w:val="28"/>
              <w:szCs w:val="28"/>
            </w:rPr>
          </w:pP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HYPERLINK \l "_Toc12317" </w:instrText>
          </w:r>
          <w:r>
            <w:rPr>
              <w:rFonts w:hint="default" w:ascii="Times New Roman" w:hAnsi="Times New Roman" w:cs="Times New Roman"/>
              <w:b w:val="0"/>
              <w:bCs w:val="0"/>
            </w:rPr>
            <w:fldChar w:fldCharType="separate"/>
          </w:r>
          <w:r>
            <w:rPr>
              <w:rFonts w:hint="default" w:ascii="Times New Roman" w:hAnsi="Times New Roman" w:eastAsia="楷体" w:cs="Times New Roman"/>
              <w:b w:val="0"/>
              <w:bCs w:val="0"/>
              <w:sz w:val="28"/>
              <w:szCs w:val="28"/>
            </w:rPr>
            <w:t>（四）</w:t>
          </w:r>
          <w:r>
            <w:rPr>
              <w:rFonts w:hint="default" w:ascii="Times New Roman" w:hAnsi="Times New Roman" w:eastAsia="楷体" w:cs="Times New Roman"/>
              <w:b w:val="0"/>
              <w:bCs w:val="0"/>
              <w:sz w:val="28"/>
              <w:szCs w:val="28"/>
            </w:rPr>
            <w:t>强化协同发展，推进科研育人和社会服务育人，增强社会服务实效</w:t>
          </w:r>
          <w:r>
            <w:rPr>
              <w:rFonts w:hint="default" w:ascii="Times New Roman" w:hAnsi="Times New Roman" w:cs="Times New Roman"/>
              <w:b w:val="0"/>
              <w:bCs w:val="0"/>
              <w:sz w:val="28"/>
              <w:szCs w:val="28"/>
            </w:rPr>
            <w:tab/>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PAGEREF _Toc12317 \h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rPr>
            <w:t>25</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fldChar w:fldCharType="end"/>
          </w:r>
        </w:p>
        <w:p>
          <w:pPr>
            <w:pStyle w:val="2"/>
            <w:snapToGrid/>
            <w:spacing w:line="500" w:lineRule="exact"/>
            <w:rPr>
              <w:rFonts w:hint="default" w:ascii="Times New Roman" w:hAnsi="Times New Roman" w:eastAsia="仿宋" w:cs="Times New Roman"/>
              <w:b w:val="0"/>
              <w:bCs w:val="0"/>
              <w:color w:val="000000" w:themeColor="text1"/>
              <w:sz w:val="30"/>
              <w:szCs w:val="30"/>
              <w14:textFill>
                <w14:solidFill>
                  <w14:schemeClr w14:val="tx1"/>
                </w14:solidFill>
              </w14:textFill>
            </w:rPr>
          </w:pPr>
          <w:r>
            <w:rPr>
              <w:rFonts w:hint="default" w:ascii="Times New Roman" w:hAnsi="Times New Roman" w:eastAsia="仿宋" w:cs="Times New Roman"/>
              <w:b w:val="0"/>
              <w:bCs w:val="0"/>
              <w:color w:val="000000" w:themeColor="text1"/>
              <w:sz w:val="28"/>
              <w:szCs w:val="28"/>
              <w14:textFill>
                <w14:solidFill>
                  <w14:schemeClr w14:val="tx1"/>
                </w14:solidFill>
              </w14:textFill>
            </w:rPr>
            <w:fldChar w:fldCharType="end"/>
          </w:r>
        </w:p>
      </w:sdtContent>
    </w:sdt>
    <w:p>
      <w:pPr>
        <w:ind w:firstLine="640" w:firstLineChars="200"/>
        <w:outlineLvl w:val="0"/>
        <w:rPr>
          <w:rFonts w:hint="default" w:ascii="Times New Roman" w:hAnsi="Times New Roman" w:eastAsia="黑体" w:cs="Times New Roman"/>
          <w:b w:val="0"/>
          <w:bCs w:val="0"/>
          <w:sz w:val="32"/>
          <w:szCs w:val="32"/>
        </w:rPr>
        <w:sectPr>
          <w:footerReference r:id="rId3" w:type="default"/>
          <w:pgSz w:w="11905" w:h="16840"/>
          <w:pgMar w:top="2098" w:right="1474" w:bottom="1984" w:left="1587" w:header="0" w:footer="1276" w:gutter="0"/>
          <w:pgNumType w:start="1"/>
          <w:cols w:space="0" w:num="1"/>
        </w:sectPr>
      </w:pPr>
      <w:bookmarkStart w:id="6" w:name="_Toc13337"/>
    </w:p>
    <w:p>
      <w:pPr>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Times New Roman" w:hAnsi="Times New Roman" w:eastAsia="黑体" w:cs="Times New Roman"/>
          <w:b w:val="0"/>
          <w:bCs w:val="0"/>
          <w:sz w:val="32"/>
          <w:szCs w:val="32"/>
        </w:rPr>
      </w:pPr>
      <w:bookmarkStart w:id="7" w:name="_Toc20242"/>
      <w:r>
        <w:rPr>
          <w:rFonts w:hint="default" w:ascii="Times New Roman" w:hAnsi="Times New Roman" w:eastAsia="黑体" w:cs="Times New Roman"/>
          <w:b w:val="0"/>
          <w:bCs w:val="0"/>
          <w:sz w:val="32"/>
          <w:szCs w:val="32"/>
        </w:rPr>
        <w:t>一、学位授权点基本情况</w:t>
      </w:r>
      <w:bookmarkEnd w:id="6"/>
      <w:bookmarkEnd w:id="7"/>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val="0"/>
          <w:sz w:val="32"/>
          <w:szCs w:val="32"/>
        </w:rPr>
      </w:pPr>
      <w:bookmarkStart w:id="8" w:name="_Toc5844"/>
      <w:bookmarkStart w:id="9" w:name="_Toc4253"/>
      <w:r>
        <w:rPr>
          <w:rFonts w:hint="default" w:ascii="Times New Roman" w:hAnsi="Times New Roman" w:eastAsia="仿宋_GB2312" w:cs="Times New Roman"/>
          <w:b w:val="0"/>
          <w:bCs w:val="0"/>
          <w:sz w:val="32"/>
          <w:szCs w:val="32"/>
        </w:rPr>
        <w:t>（一）基本概况</w:t>
      </w:r>
      <w:bookmarkEnd w:id="8"/>
      <w:bookmarkEnd w:id="9"/>
    </w:p>
    <w:p>
      <w:pPr>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32"/>
          <w:szCs w:val="32"/>
        </w:rPr>
        <w:drawing>
          <wp:anchor distT="0" distB="0" distL="0" distR="0" simplePos="0" relativeHeight="251659264" behindDoc="0" locked="0" layoutInCell="1" allowOverlap="1">
            <wp:simplePos x="0" y="0"/>
            <wp:positionH relativeFrom="column">
              <wp:posOffset>86360</wp:posOffset>
            </wp:positionH>
            <wp:positionV relativeFrom="paragraph">
              <wp:posOffset>5182870</wp:posOffset>
            </wp:positionV>
            <wp:extent cx="5320665" cy="1748790"/>
            <wp:effectExtent l="0" t="0" r="13335" b="3810"/>
            <wp:wrapSquare wrapText="bothSides"/>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6"/>
                    <a:stretch>
                      <a:fillRect/>
                    </a:stretch>
                  </pic:blipFill>
                  <pic:spPr>
                    <a:xfrm>
                      <a:off x="0" y="0"/>
                      <a:ext cx="5321045" cy="1748790"/>
                    </a:xfrm>
                    <a:prstGeom prst="rect">
                      <a:avLst/>
                    </a:prstGeom>
                  </pic:spPr>
                </pic:pic>
              </a:graphicData>
            </a:graphic>
          </wp:anchor>
        </w:drawing>
      </w:r>
      <w:r>
        <w:rPr>
          <w:rFonts w:hint="default" w:ascii="Times New Roman" w:hAnsi="Times New Roman" w:eastAsia="仿宋_GB2312" w:cs="Times New Roman"/>
          <w:b w:val="0"/>
          <w:bCs w:val="0"/>
          <w:spacing w:val="-8"/>
          <w:sz w:val="32"/>
          <w:szCs w:val="32"/>
        </w:rPr>
        <w:t>福建农林大学是农业农村部、国家林草局与福建省政府共建高校，是福建省一流大学建设高校。1995年设土地资源管理本科专业</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（目前仍是全省唯一）</w:t>
      </w:r>
      <w:r>
        <w:rPr>
          <w:rFonts w:hint="default" w:ascii="Times New Roman" w:hAnsi="Times New Roman" w:eastAsia="仿宋_GB2312" w:cs="Times New Roman"/>
          <w:b w:val="0"/>
          <w:bCs w:val="0"/>
          <w:spacing w:val="-8"/>
          <w:sz w:val="32"/>
          <w:szCs w:val="32"/>
        </w:rPr>
        <w:t>，2000年获批土地资源管理二级学科硕士点，2002年设行政管理、公共事业管理(含闽台班)本科专业，2005年设劳动与社会保障本科专业，2010年获批公共管理硕士</w:t>
      </w:r>
      <w:r>
        <w:rPr>
          <w:rFonts w:hint="default" w:ascii="Times New Roman" w:hAnsi="Times New Roman" w:eastAsia="仿宋_GB2312" w:cs="Times New Roman"/>
          <w:b w:val="0"/>
          <w:bCs w:val="0"/>
          <w:kern w:val="2"/>
          <w:sz w:val="32"/>
          <w:szCs w:val="32"/>
        </w:rPr>
        <w:t>（MPA）专业学位硕士点</w:t>
      </w:r>
      <w:r>
        <w:rPr>
          <w:rFonts w:hint="default" w:ascii="Times New Roman" w:hAnsi="Times New Roman" w:eastAsia="仿宋_GB2312" w:cs="Times New Roman"/>
          <w:b w:val="0"/>
          <w:bCs w:val="0"/>
          <w:spacing w:val="-8"/>
          <w:sz w:val="32"/>
          <w:szCs w:val="32"/>
        </w:rPr>
        <w:t>，2011年获批公共管理一级学科硕士点，2013年设农村社会管理二级学科博士点。2012年成为福建省级重点学科，2017年入选福建省高原学科。在全国第四轮学科评估中，进入了全国前50%（C+），居省内高校第二名、全国农林院校第四名。现已形成行政管理（农村社会管理）、公共政策、土地资源管理、社会保障、</w:t>
      </w:r>
      <w:r>
        <w:rPr>
          <w:rFonts w:hint="default" w:ascii="Times New Roman" w:hAnsi="Times New Roman" w:eastAsia="仿宋_GB2312" w:cs="Times New Roman"/>
          <w:b w:val="0"/>
          <w:bCs w:val="0"/>
          <w:sz w:val="32"/>
          <w:szCs w:val="32"/>
        </w:rPr>
        <w:t>应急管理</w:t>
      </w:r>
      <w:r>
        <w:rPr>
          <w:rFonts w:hint="default" w:ascii="Times New Roman" w:hAnsi="Times New Roman" w:eastAsia="仿宋_GB2312" w:cs="Times New Roman"/>
          <w:b w:val="0"/>
          <w:bCs w:val="0"/>
          <w:spacing w:val="-8"/>
          <w:sz w:val="32"/>
          <w:szCs w:val="32"/>
        </w:rPr>
        <w:t>等学科方向和完整的“本-硕-博”一贯制的人才培养学科体系。</w:t>
      </w:r>
      <w:r>
        <w:rPr>
          <w:rFonts w:hint="default" w:ascii="Times New Roman" w:hAnsi="Times New Roman" w:eastAsia="仿宋_GB2312" w:cs="Times New Roman"/>
          <w:b w:val="0"/>
          <w:bCs w:val="0"/>
          <w:sz w:val="32"/>
          <w:szCs w:val="32"/>
        </w:rPr>
        <w:t>相关支撑学科有：农林经济管理一级学科博士点、农业资源与环境一级学科博士点、生态学一级学科博士点、马克思主义理论一级学科硕士点、法律硕士专业学位点。</w:t>
      </w:r>
    </w:p>
    <w:p>
      <w:pPr>
        <w:spacing w:before="47" w:line="600" w:lineRule="exact"/>
        <w:jc w:val="center"/>
        <w:textAlignment w:val="center"/>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图 1 公共管理学科发展历程</w:t>
      </w:r>
    </w:p>
    <w:p>
      <w:pPr>
        <w:pStyle w:val="4"/>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val="0"/>
          <w:sz w:val="32"/>
          <w:szCs w:val="32"/>
        </w:rPr>
      </w:pPr>
      <w:bookmarkStart w:id="10" w:name="_Toc19891"/>
      <w:bookmarkStart w:id="11" w:name="_Toc6546"/>
      <w:r>
        <w:rPr>
          <w:rFonts w:hint="default" w:ascii="Times New Roman" w:hAnsi="Times New Roman" w:eastAsia="仿宋_GB2312" w:cs="Times New Roman"/>
          <w:b w:val="0"/>
          <w:bCs w:val="0"/>
          <w:sz w:val="32"/>
          <w:szCs w:val="32"/>
        </w:rPr>
        <w:t>（二）目标与标准</w:t>
      </w:r>
      <w:bookmarkEnd w:id="10"/>
      <w:bookmarkEnd w:id="11"/>
    </w:p>
    <w:p>
      <w:pPr>
        <w:pStyle w:val="5"/>
        <w:pageBreakBefore w:val="0"/>
        <w:widowControl/>
        <w:kinsoku w:val="0"/>
        <w:wordWrap/>
        <w:overflowPunct/>
        <w:topLinePunct w:val="0"/>
        <w:autoSpaceDE w:val="0"/>
        <w:autoSpaceDN w:val="0"/>
        <w:bidi w:val="0"/>
        <w:adjustRightInd w:val="0"/>
        <w:snapToGrid w:val="0"/>
        <w:spacing w:before="0" w:line="560" w:lineRule="exact"/>
        <w:ind w:firstLine="640" w:firstLineChars="200"/>
        <w:jc w:val="both"/>
        <w:textAlignment w:val="baseline"/>
        <w:rPr>
          <w:rFonts w:hint="default" w:ascii="Times New Roman" w:hAnsi="Times New Roman" w:eastAsia="仿宋_GB2312" w:cs="Times New Roman"/>
          <w:b w:val="0"/>
          <w:bCs w:val="0"/>
          <w:sz w:val="32"/>
        </w:rPr>
      </w:pPr>
      <w:bookmarkStart w:id="12" w:name="_Toc26788"/>
      <w:bookmarkStart w:id="13" w:name="_Toc17429"/>
      <w:r>
        <w:rPr>
          <w:rFonts w:hint="default" w:ascii="Times New Roman" w:hAnsi="Times New Roman" w:eastAsia="仿宋_GB2312" w:cs="Times New Roman"/>
          <w:b w:val="0"/>
          <w:bCs w:val="0"/>
          <w:sz w:val="32"/>
        </w:rPr>
        <w:t>1.</w:t>
      </w:r>
      <w:r>
        <w:rPr>
          <w:rFonts w:hint="default" w:ascii="Times New Roman" w:hAnsi="Times New Roman" w:eastAsia="仿宋_GB2312" w:cs="Times New Roman"/>
          <w:b w:val="0"/>
          <w:bCs w:val="0"/>
          <w:sz w:val="32"/>
          <w:lang w:val="zh-CN"/>
        </w:rPr>
        <w:t>培养</w:t>
      </w:r>
      <w:r>
        <w:rPr>
          <w:rFonts w:hint="default" w:ascii="Times New Roman" w:hAnsi="Times New Roman" w:eastAsia="仿宋_GB2312" w:cs="Times New Roman"/>
          <w:b w:val="0"/>
          <w:bCs w:val="0"/>
          <w:sz w:val="32"/>
          <w:lang w:val="zh-CN"/>
        </w:rPr>
        <w:t>目标</w:t>
      </w:r>
      <w:bookmarkEnd w:id="12"/>
      <w:bookmarkEnd w:id="13"/>
    </w:p>
    <w:p>
      <w:pPr>
        <w:pageBreakBefore w:val="0"/>
        <w:widowControl/>
        <w:kinsoku w:val="0"/>
        <w:wordWrap/>
        <w:overflowPunct/>
        <w:topLinePunct w:val="0"/>
        <w:autoSpaceDE w:val="0"/>
        <w:autoSpaceDN w:val="0"/>
        <w:bidi w:val="0"/>
        <w:adjustRightInd w:val="0"/>
        <w:snapToGrid w:val="0"/>
        <w:spacing w:line="560" w:lineRule="exact"/>
        <w:ind w:firstLine="608" w:firstLineChars="200"/>
        <w:jc w:val="both"/>
        <w:textAlignment w:val="baseline"/>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培养德智体美劳全面发展，掌握马克思主义立场、观点、方法，具备公共意识、公共精神、公共责任和数字素养，掌握系统的公共管理理论、知识方法和中国治理的基本规律，以及管理学、政治学、经济学、法学等相关专业知识，具有独立从事科学研究的能力和创新创业能力，能够胜任党政机关、事业单位以及社会组织管理工作和研究工作的高层次复合型创新人才。</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14" w:name="_Toc10082"/>
      <w:bookmarkStart w:id="15" w:name="_Toc1418"/>
      <w:r>
        <w:rPr>
          <w:rFonts w:hint="default" w:ascii="Times New Roman" w:hAnsi="Times New Roman" w:eastAsia="仿宋_GB2312" w:cs="Times New Roman"/>
          <w:b w:val="0"/>
          <w:bCs w:val="0"/>
          <w:sz w:val="32"/>
          <w:lang w:val="zh-CN"/>
        </w:rPr>
        <w:t>2.学位标准</w:t>
      </w:r>
      <w:bookmarkEnd w:id="14"/>
      <w:bookmarkEnd w:id="15"/>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根据国务院学位委员会学科评议组公共管理学位授权审核申请基本条件，制定《福建农林大学公共管理一级学科硕士点学位授予标准》《福建农林大学公共管理学术学位硕士研究生培养方案》，对本学位点硕士生应具备的基本素质、基本知识、基本学术能力及学位论文基本要求做出明确规定。凝练专业特色，强化导师队伍建设，在学制设置与学分要求、课程设置与培养方向、课程教学、论文开题、中期考核、论文撰写、学位授予等各个培养环节提出明确的标准。主要包括：（1）学制3年，最长学习年限5年；（2）实行学分制，总学分不少于37 学分，其中课程学习不少于32学分，培养环节不少于5学分（包括学术活动3学分、实践教育2学分）；（3）完成学位论文，通过论文评审和答辩；（4）申请硕士学位授予前，</w:t>
      </w:r>
      <w:r>
        <w:rPr>
          <w:rFonts w:hint="default" w:ascii="Times New Roman" w:hAnsi="Times New Roman" w:eastAsia="仿宋_GB2312" w:cs="Times New Roman"/>
          <w:b w:val="0"/>
          <w:bCs w:val="0"/>
          <w:sz w:val="32"/>
          <w:szCs w:val="32"/>
        </w:rPr>
        <w:t>学术成果</w:t>
      </w:r>
      <w:r>
        <w:rPr>
          <w:rFonts w:hint="default" w:ascii="Times New Roman" w:hAnsi="Times New Roman" w:eastAsia="仿宋_GB2312" w:cs="Times New Roman"/>
          <w:b w:val="0"/>
          <w:bCs w:val="0"/>
          <w:sz w:val="32"/>
          <w:szCs w:val="32"/>
        </w:rPr>
        <w:t>（或在学院学位评定分委员会召开对答辩委员会建议授予硕士学位对象的会议前提供刊物正式录用通知）须符合以下条件之一：①学生为第一作者，福建农林大学为第一完成单位，在大学学报或省级及以上期刊等公开发表1</w:t>
      </w:r>
      <w:r>
        <w:rPr>
          <w:rFonts w:hint="default" w:ascii="Times New Roman" w:hAnsi="Times New Roman" w:eastAsia="仿宋_GB2312" w:cs="Times New Roman"/>
          <w:b w:val="0"/>
          <w:bCs w:val="0"/>
          <w:sz w:val="32"/>
          <w:szCs w:val="32"/>
        </w:rPr>
        <w:t>篇4000字以上的学术论文。（</w:t>
      </w:r>
      <w:r>
        <w:rPr>
          <w:rFonts w:hint="default" w:ascii="Times New Roman" w:hAnsi="Times New Roman" w:eastAsia="仿宋_GB2312" w:cs="Times New Roman"/>
          <w:b w:val="0"/>
          <w:bCs w:val="0"/>
          <w:sz w:val="32"/>
          <w:szCs w:val="32"/>
          <w:lang w:val="zh-CN"/>
        </w:rPr>
        <w:t>共同第一作者署名且排名第一发表的论文，经其他共同第一作者及通讯作者同意并签署使用说明后，可作为第一作者使用，我校的其他共同第一作者和通讯作者不得使用）。</w:t>
      </w:r>
      <w:r>
        <w:rPr>
          <w:rFonts w:hint="default" w:ascii="Times New Roman" w:hAnsi="Times New Roman" w:eastAsia="仿宋_GB2312" w:cs="Times New Roman"/>
          <w:b w:val="0"/>
          <w:bCs w:val="0"/>
          <w:sz w:val="32"/>
          <w:szCs w:val="32"/>
        </w:rPr>
        <w:t>②导师为第一作者、学生为第二作者，福建农林大学为第一完成单位，在中文核心期刊发表1篇学术论文。③导师为第一作者，学生为第二或第三作者，福建农林大学为第一完成单位，在权威期刊发表1篇学术论文。④导师为第一作者，学生为第二或第三作者，成果获省领导肯定性批示或被省级文件部分采用或入选教育部社科《成果要报》或省级优秀调研报告。⑤</w:t>
      </w:r>
      <w:r>
        <w:rPr>
          <w:rFonts w:hint="default" w:ascii="Times New Roman" w:hAnsi="Times New Roman" w:eastAsia="仿宋_GB2312" w:cs="Times New Roman"/>
          <w:b w:val="0"/>
          <w:bCs w:val="0"/>
          <w:sz w:val="32"/>
          <w:szCs w:val="32"/>
        </w:rPr>
        <w:t>参加中国公共管理研究生案例大赛，获优秀奖，排名第一；获三等奖，排名前二；获二等奖，排名第三；获一等奖，排名前五。⑥撰写或参与撰写的案例入选中国公共管理专业学位教学案例库，排名前三。</w:t>
      </w:r>
      <w:r>
        <w:rPr>
          <w:rFonts w:hint="default" w:ascii="Times New Roman" w:hAnsi="Times New Roman" w:eastAsia="仿宋_GB2312" w:cs="Times New Roman"/>
          <w:b w:val="0"/>
          <w:bCs w:val="0"/>
          <w:sz w:val="32"/>
          <w:szCs w:val="32"/>
        </w:rPr>
        <w:t>⑦</w:t>
      </w:r>
      <w:r>
        <w:rPr>
          <w:rFonts w:hint="default" w:ascii="Times New Roman" w:hAnsi="Times New Roman" w:eastAsia="仿宋_GB2312" w:cs="Times New Roman"/>
          <w:b w:val="0"/>
          <w:bCs w:val="0"/>
          <w:sz w:val="32"/>
          <w:szCs w:val="32"/>
        </w:rPr>
        <w:t>参加省级公共管理研究生案例大赛，一等奖排名前2，二等奖排名第一。</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16" w:name="_Toc30901"/>
      <w:bookmarkStart w:id="17" w:name="_Toc9170"/>
      <w:r>
        <w:rPr>
          <w:rFonts w:hint="default" w:ascii="Times New Roman" w:hAnsi="Times New Roman" w:eastAsia="仿宋_GB2312" w:cs="Times New Roman"/>
          <w:b w:val="0"/>
          <w:bCs w:val="0"/>
          <w:sz w:val="32"/>
          <w:szCs w:val="32"/>
        </w:rPr>
        <w:t>（三）基本条件</w:t>
      </w:r>
      <w:bookmarkEnd w:id="16"/>
      <w:bookmarkEnd w:id="17"/>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18" w:name="_Toc3690"/>
      <w:bookmarkStart w:id="19" w:name="_Toc18705"/>
      <w:r>
        <w:rPr>
          <w:rFonts w:hint="default" w:ascii="Times New Roman" w:hAnsi="Times New Roman" w:eastAsia="仿宋_GB2312" w:cs="Times New Roman"/>
          <w:b w:val="0"/>
          <w:bCs w:val="0"/>
          <w:sz w:val="32"/>
        </w:rPr>
        <w:t>1.培养方向</w:t>
      </w:r>
      <w:bookmarkEnd w:id="18"/>
      <w:bookmarkEnd w:id="19"/>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坚持中国特色社会主义办学方向，以立德树人、服务社会为己任，主动融入党和国家、区域发展的重大战略部署，围绕国家治理体系和治理能力现代化的需求，紧密结合学校农林学科专业优势以及对台区位优势，坚持扎根基层、政学研紧密结合、多学科协同推进，开设了行政管理、公共政策、社会保障、土地资源管理、应急管理等5个培养方向。</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20" w:name="_Toc30233"/>
      <w:bookmarkStart w:id="21" w:name="_Toc1042"/>
      <w:r>
        <w:rPr>
          <w:rFonts w:hint="default" w:ascii="Times New Roman" w:hAnsi="Times New Roman" w:eastAsia="仿宋_GB2312" w:cs="Times New Roman"/>
          <w:b w:val="0"/>
          <w:bCs w:val="0"/>
          <w:sz w:val="32"/>
        </w:rPr>
        <w:t>2.师资队伍</w:t>
      </w:r>
      <w:bookmarkEnd w:id="20"/>
      <w:bookmarkEnd w:id="21"/>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 xml:space="preserve">围绕学科重点发展方向和人才培养目标，加大师资引进力度，完善引人用人体制机制，优化人才成长环境，逐步建成一支高水平的师资队伍。 </w:t>
      </w:r>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（1）师资队伍规模适中、结构合理</w:t>
      </w:r>
      <w:r>
        <w:rPr>
          <w:rFonts w:hint="default" w:ascii="Times New Roman" w:hAnsi="Times New Roman" w:eastAsia="仿宋_GB2312" w:cs="Times New Roman"/>
          <w:b w:val="0"/>
          <w:bCs w:val="0"/>
          <w:spacing w:val="-8"/>
          <w:sz w:val="32"/>
          <w:szCs w:val="32"/>
        </w:rPr>
        <w:t>。学科有专任教师46人，其中高级职称占比89.1%；博士生导师11名，硕士生导师31名；拥有博士学位的教师占87%；有海外经历教师占54.3%。最高学位非本单位人数占52.2％，主要毕业于北京大学、中国人民大学、浙江大学、东北大学、中国农业大学、武汉大学、厦门大学、南京农业大学等知名院校。</w:t>
      </w:r>
      <w:r>
        <w:rPr>
          <w:rFonts w:hint="default" w:ascii="Times New Roman" w:hAnsi="Times New Roman" w:eastAsia="仿宋_GB2312" w:cs="Times New Roman"/>
          <w:b w:val="0"/>
          <w:bCs w:val="0"/>
          <w:sz w:val="32"/>
          <w:szCs w:val="32"/>
        </w:rPr>
        <w:t>现有省级硕士研究生导师团队3支。</w:t>
      </w:r>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（2）师资层次不断提升，注重教师成长。</w:t>
      </w:r>
      <w:r>
        <w:rPr>
          <w:rFonts w:hint="default" w:ascii="Times New Roman" w:hAnsi="Times New Roman" w:eastAsia="仿宋_GB2312" w:cs="Times New Roman"/>
          <w:b w:val="0"/>
          <w:bCs w:val="0"/>
          <w:spacing w:val="-8"/>
          <w:sz w:val="32"/>
          <w:szCs w:val="32"/>
        </w:rPr>
        <w:t>积极选派教师参加学术研讨会和专业核心课程培训会，努力培养高层次人才。学科有享受国务院特殊津贴专家1人，中宣部高端智库专家2人，教育部“智慧教学之星”1人，省教学名师1人，省优秀教师2人，省师德标兵1人，省“百千万工程”人才人选1人，省优秀人才“百人计划”文化名家1人，省B类人才1人、C类人才3人，省高校青年拔尖人才1人，入选“福建省高等学校新世纪优秀人才支持计划”8人、“福建省高校杰出青年科研人才培育计划”9人，受聘为福建省人大立法咨询专家1人、福州市人民政府顾问1人、福建省习近平新时代中国特色社会主义思想研究中心特约研究员1人，一批中青年教师成为学科骨干力量。</w:t>
      </w:r>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（3）兼职师资队伍与专任教师队伍相互补充与配合，实现优势互补</w:t>
      </w:r>
      <w:r>
        <w:rPr>
          <w:rFonts w:hint="default" w:ascii="Times New Roman" w:hAnsi="Times New Roman" w:eastAsia="仿宋_GB2312" w:cs="Times New Roman"/>
          <w:b w:val="0"/>
          <w:bCs w:val="0"/>
          <w:spacing w:val="-8"/>
          <w:sz w:val="32"/>
          <w:szCs w:val="32"/>
        </w:rPr>
        <w:t>。根据公共管理研究及人才培养须紧密结合实践的特点，组建一支由金山学者讲座教授、兼职教授、校外研究生导师、课程教师组成的校外师资队伍，与专任教师实现优势互补。采取协议工资制引进美国德州农工大学、复旦大学高层次人才等柔性引进人员5名。</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lang w:val="zh-CN"/>
        </w:rPr>
      </w:pPr>
      <w:bookmarkStart w:id="22" w:name="_Toc13077"/>
      <w:bookmarkStart w:id="23" w:name="_Toc4547"/>
      <w:r>
        <w:rPr>
          <w:rFonts w:hint="default" w:ascii="Times New Roman" w:hAnsi="Times New Roman" w:eastAsia="仿宋_GB2312" w:cs="Times New Roman"/>
          <w:b w:val="0"/>
          <w:bCs w:val="0"/>
          <w:sz w:val="32"/>
        </w:rPr>
        <w:t>3.</w:t>
      </w:r>
      <w:r>
        <w:rPr>
          <w:rFonts w:hint="default" w:ascii="Times New Roman" w:hAnsi="Times New Roman" w:eastAsia="仿宋_GB2312" w:cs="Times New Roman"/>
          <w:b w:val="0"/>
          <w:bCs w:val="0"/>
          <w:sz w:val="32"/>
          <w:lang w:val="zh-CN"/>
        </w:rPr>
        <w:t>科学研究</w:t>
      </w:r>
      <w:bookmarkEnd w:id="22"/>
      <w:bookmarkEnd w:id="23"/>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（1）科研项目量质齐升</w:t>
      </w:r>
      <w:r>
        <w:rPr>
          <w:rFonts w:hint="default" w:ascii="Times New Roman" w:hAnsi="Times New Roman" w:eastAsia="仿宋_GB2312" w:cs="Times New Roman"/>
          <w:b w:val="0"/>
          <w:bCs w:val="0"/>
          <w:spacing w:val="-8"/>
          <w:sz w:val="32"/>
          <w:szCs w:val="32"/>
        </w:rPr>
        <w:t>。新增18个省部级以上项目，其中国家社科基金重大项目子课题1项，国家社科基金项目3项，国家自然基金项目1项，省社科（基地）重大项目、省社科基金特别委托项目、省创新战略研究项目等省级项目13项。全年校外到账经费293.5万元。</w:t>
      </w:r>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（2）高水平论文和研究成果逐年丰富</w:t>
      </w:r>
      <w:r>
        <w:rPr>
          <w:rFonts w:hint="default" w:ascii="Times New Roman" w:hAnsi="Times New Roman" w:eastAsia="仿宋_GB2312" w:cs="Times New Roman"/>
          <w:b w:val="0"/>
          <w:bCs w:val="0"/>
          <w:spacing w:val="-8"/>
          <w:sz w:val="32"/>
          <w:szCs w:val="32"/>
        </w:rPr>
        <w:t>。4项研究成果获福建省第十四届社会科学优秀成果奖，其中二等奖1项，三等奖3项；1篇论文获2021年度党风廉政建设和反腐败工作优秀调研论文评审三等奖，2篇论文获2022年福建社科界青年学者论坛优秀论文。教师以第一作者或通讯作者发表论文60篇，其中SSCI 2篇，SCI 2篇，CSSCI/CSCD/北大中文核心期刊等13篇；在《光明日报》《经济日报》《福建日报》等报刊上发表理论文章6篇。3份研究报告被省委智库办《智库专报》采用，其中1份研究报告获省委书记肯定性批示；1份研究报告被省委办公厅《福建信息》采用；5篇论文被收录中共福建省委主办的习近平新时代中国特色社会主义思想系列高端理论研讨会，其中1名教授在“‘3820’战略工程与习近平新时代中国特色社会主义思想”理论研讨会上做大会发言。</w:t>
      </w:r>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r>
        <w:rPr>
          <w:rFonts w:hint="default" w:ascii="Times New Roman" w:hAnsi="Times New Roman" w:eastAsia="仿宋_GB2312" w:cs="Times New Roman"/>
          <w:b w:val="0"/>
          <w:bCs w:val="0"/>
          <w:spacing w:val="-8"/>
          <w:sz w:val="32"/>
          <w:szCs w:val="32"/>
        </w:rPr>
        <w:t>（3）科研成果应用转化较好</w:t>
      </w:r>
      <w:r>
        <w:rPr>
          <w:rFonts w:hint="default" w:ascii="Times New Roman" w:hAnsi="Times New Roman" w:eastAsia="仿宋_GB2312" w:cs="Times New Roman"/>
          <w:b w:val="0"/>
          <w:bCs w:val="0"/>
          <w:spacing w:val="-8"/>
          <w:sz w:val="32"/>
          <w:szCs w:val="32"/>
        </w:rPr>
        <w:t>。</w:t>
      </w:r>
      <w:bookmarkStart w:id="24" w:name="bookmark0"/>
      <w:r>
        <w:rPr>
          <w:rFonts w:hint="default" w:ascii="Times New Roman" w:hAnsi="Times New Roman" w:eastAsia="仿宋_GB2312" w:cs="Times New Roman"/>
          <w:b w:val="0"/>
          <w:bCs w:val="0"/>
          <w:spacing w:val="-8"/>
          <w:sz w:val="32"/>
          <w:szCs w:val="32"/>
        </w:rPr>
        <w:t>一是服务国家战略闽西革命老区高质量发展示范区建设、国家级福州都市圈建设等。承担《龙岩市新罗区城市经济发展行动计划（2022-2024）》《推进福州市都市圈高质量发展研究》《福安融入福州都市圈发展研究》《福州市乡村产业发展规划（2021-2025年）》《长乐区金峰镇经济与社会发展规划（2021-2025年）》等项目。二是积极主动服务各级党委政府重大决策。研究成果被省部级政府部门采纳10项，市厅级政府部门采纳5项，县级政府部门采纳1项。实地调研全省9个设区市和平潭综合实验区，为我省农村集体产权制度改革试点评估提供专家服务；为省委省政府、省人大、省政协、省直部门和福州市人大常委会，福州市、莆田市、南平市、三明、龙岩、宁德市等设区市提供60多人次专家评审咨询服务。三是助力乡村振兴，服务福建“四大经济”发展。组建城乡发展规划、土地经济与管理、农村法治、社区治理等10支社会服务团队，在福州、宁德、诏安、德化、长泰等地（市）县，为地方政府决策咨询和基层社会治理提供服务。选派科技特派员2名，服务顺昌等地。各团队在地方活动开展情况被官方媒体报道26次。教师为全省人大乡村振兴专题培训班等做报告5场，为全省各级党委、政府、人大、政协等做报告9场。</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lang w:val="zh-CN"/>
        </w:rPr>
      </w:pPr>
      <w:bookmarkStart w:id="25" w:name="_Toc9157"/>
      <w:bookmarkStart w:id="26" w:name="_Toc8375"/>
      <w:r>
        <w:rPr>
          <w:rFonts w:hint="default" w:ascii="Times New Roman" w:hAnsi="Times New Roman" w:eastAsia="仿宋_GB2312" w:cs="Times New Roman"/>
          <w:b w:val="0"/>
          <w:bCs w:val="0"/>
          <w:sz w:val="32"/>
        </w:rPr>
        <w:t>4.</w:t>
      </w:r>
      <w:r>
        <w:rPr>
          <w:rFonts w:hint="default" w:ascii="Times New Roman" w:hAnsi="Times New Roman" w:eastAsia="仿宋_GB2312" w:cs="Times New Roman"/>
          <w:b w:val="0"/>
          <w:bCs w:val="0"/>
          <w:sz w:val="32"/>
          <w:lang w:val="zh-CN"/>
        </w:rPr>
        <w:t>教学科研支</w:t>
      </w:r>
      <w:bookmarkEnd w:id="24"/>
      <w:r>
        <w:rPr>
          <w:rFonts w:hint="default" w:ascii="Times New Roman" w:hAnsi="Times New Roman" w:eastAsia="仿宋_GB2312" w:cs="Times New Roman"/>
          <w:b w:val="0"/>
          <w:bCs w:val="0"/>
          <w:sz w:val="32"/>
          <w:lang w:val="zh-CN"/>
        </w:rPr>
        <w:t>撑</w:t>
      </w:r>
      <w:bookmarkEnd w:id="25"/>
      <w:bookmarkEnd w:id="26"/>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spacing w:val="-8"/>
          <w:sz w:val="32"/>
          <w:szCs w:val="32"/>
        </w:rPr>
      </w:pPr>
      <w:bookmarkStart w:id="27" w:name="bookmark1"/>
      <w:bookmarkStart w:id="28" w:name="_Toc12612"/>
      <w:bookmarkStart w:id="29" w:name="_Toc10706"/>
      <w:bookmarkStart w:id="30" w:name="_Toc22259"/>
      <w:bookmarkStart w:id="31" w:name="_Toc9336"/>
      <w:bookmarkStart w:id="32" w:name="_Toc2072"/>
      <w:r>
        <w:rPr>
          <w:rFonts w:hint="default" w:ascii="Times New Roman" w:hAnsi="Times New Roman" w:eastAsia="仿宋_GB2312" w:cs="Times New Roman"/>
          <w:b w:val="0"/>
          <w:bCs w:val="0"/>
          <w:spacing w:val="-8"/>
          <w:sz w:val="32"/>
          <w:szCs w:val="32"/>
        </w:rPr>
        <w:t>（1）国家级、省部厅级教学科研平台体系较完备</w:t>
      </w:r>
      <w:r>
        <w:rPr>
          <w:rFonts w:hint="default" w:ascii="Times New Roman" w:hAnsi="Times New Roman" w:eastAsia="仿宋_GB2312" w:cs="Times New Roman"/>
          <w:b w:val="0"/>
          <w:bCs w:val="0"/>
          <w:spacing w:val="-8"/>
          <w:sz w:val="32"/>
          <w:szCs w:val="32"/>
        </w:rPr>
        <w:t>，</w:t>
      </w:r>
      <w:r>
        <w:rPr>
          <w:rFonts w:hint="default" w:ascii="Times New Roman" w:hAnsi="Times New Roman" w:eastAsia="仿宋_GB2312" w:cs="Times New Roman"/>
          <w:b w:val="0"/>
          <w:bCs w:val="0"/>
          <w:spacing w:val="-8"/>
          <w:sz w:val="32"/>
          <w:szCs w:val="32"/>
        </w:rPr>
        <w:t>可以很好地支撑本学位</w:t>
      </w:r>
      <w:bookmarkEnd w:id="27"/>
      <w:r>
        <w:rPr>
          <w:rFonts w:hint="default" w:ascii="Times New Roman" w:hAnsi="Times New Roman" w:eastAsia="仿宋_GB2312" w:cs="Times New Roman"/>
          <w:b w:val="0"/>
          <w:bCs w:val="0"/>
          <w:spacing w:val="-8"/>
          <w:sz w:val="32"/>
          <w:szCs w:val="32"/>
        </w:rPr>
        <w:t>点教学科研和人才培养工作。</w:t>
      </w:r>
      <w:r>
        <w:rPr>
          <w:rFonts w:hint="default" w:ascii="Times New Roman" w:hAnsi="Times New Roman" w:eastAsia="仿宋_GB2312" w:cs="Times New Roman"/>
          <w:b w:val="0"/>
          <w:bCs w:val="0"/>
          <w:spacing w:val="-8"/>
          <w:sz w:val="32"/>
          <w:szCs w:val="32"/>
        </w:rPr>
        <w:t>拥有自然资源部东南生态脆弱区监测修复工程技术创新中心、全国公共管理案例中心福州分中心、福建省研究生创新教育基地、省级研究生教学案例库、福建省社会科学研究基地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“新时代乡村治理研究中心”</w:t>
      </w:r>
      <w:r>
        <w:rPr>
          <w:rFonts w:hint="default" w:ascii="Times New Roman" w:hAnsi="Times New Roman" w:eastAsia="仿宋_GB2312" w:cs="Times New Roman"/>
          <w:b w:val="0"/>
          <w:bCs w:val="0"/>
          <w:spacing w:val="-8"/>
          <w:sz w:val="32"/>
          <w:szCs w:val="32"/>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福建省高端智库暨福建省高校特色新型智库“区域特色发展研究院”</w:t>
      </w:r>
      <w:r>
        <w:rPr>
          <w:rFonts w:hint="default" w:ascii="Times New Roman" w:hAnsi="Times New Roman" w:eastAsia="仿宋_GB2312" w:cs="Times New Roman"/>
          <w:b w:val="0"/>
          <w:bCs w:val="0"/>
          <w:spacing w:val="-8"/>
          <w:sz w:val="32"/>
          <w:szCs w:val="32"/>
        </w:rPr>
        <w:t>、</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福建省高校人文社会科学研究基地“农村廉洁建设研究中心”“自然资源管理研究中心”“农村发展研究中心”“区域特色发展研究中心”“农村法治研究中心”</w:t>
      </w:r>
      <w:r>
        <w:rPr>
          <w:rFonts w:hint="default" w:ascii="Times New Roman" w:hAnsi="Times New Roman" w:eastAsia="仿宋_GB2312" w:cs="Times New Roman"/>
          <w:b w:val="0"/>
          <w:bCs w:val="0"/>
          <w:spacing w:val="-8"/>
          <w:sz w:val="32"/>
          <w:szCs w:val="32"/>
        </w:rPr>
        <w:t>等11个省部级教学科研平台，“公共管理政策分析”“国土空间规划与土地整治”等2个实验室，以及3个校内大学生科研训练基地，同时还拥有59个校外实践教学基地、43个农村固定观察点等。这些平台为学位点的教学科研、案例研发等提供了良好的基础和条件。</w:t>
      </w:r>
      <w:bookmarkEnd w:id="28"/>
      <w:bookmarkEnd w:id="29"/>
      <w:bookmarkEnd w:id="30"/>
      <w:bookmarkEnd w:id="31"/>
      <w:bookmarkEnd w:id="32"/>
    </w:p>
    <w:p>
      <w:pPr>
        <w:pageBreakBefore w:val="0"/>
        <w:wordWrap/>
        <w:overflowPunct/>
        <w:topLinePunct w:val="0"/>
        <w:bidi w:val="0"/>
        <w:spacing w:line="560" w:lineRule="exact"/>
        <w:ind w:firstLine="608"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spacing w:val="-8"/>
          <w:sz w:val="32"/>
          <w:szCs w:val="32"/>
        </w:rPr>
        <w:t>（2）教学科研设施条件较好。</w:t>
      </w:r>
      <w:bookmarkStart w:id="33" w:name="_Toc10238"/>
      <w:r>
        <w:rPr>
          <w:rFonts w:hint="default" w:ascii="Times New Roman" w:hAnsi="Times New Roman" w:eastAsia="仿宋_GB2312" w:cs="Times New Roman"/>
          <w:b w:val="0"/>
          <w:bCs w:val="0"/>
          <w:color w:val="000000" w:themeColor="text1"/>
          <w:sz w:val="32"/>
          <w:szCs w:val="32"/>
          <w14:textFill>
            <w14:solidFill>
              <w14:schemeClr w14:val="tx1"/>
            </w14:solidFill>
          </w14:textFill>
        </w:rPr>
        <w:t>学校占地面积4500多亩，拥有教学科研用房50多万平方米，图书馆馆藏纸质图书（含期刊装订本）309万册，电子图书（含电子期刊）340万册。建有一栋独立的公共管理学院综合大楼，其中教学专用多媒体教室8间，其中可容100人以上的1间，60人以上的3间，可容15人以上的4间，面积1492平方米。拥有设备齐全的案例教室和学习讨论室各6间，面积792平方米。专业资料室藏书3.2万册，阅览室面积达300平方米。提供便捷的多样化校园网络服务。为每一位学生提供个人帐号，可在多媒体教室、电子阅览室和电子政务实验室等实现便捷上网和查阅学术期刊网。</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34" w:name="_Toc5875"/>
      <w:r>
        <w:rPr>
          <w:rFonts w:hint="default" w:ascii="Times New Roman" w:hAnsi="Times New Roman" w:eastAsia="仿宋_GB2312" w:cs="Times New Roman"/>
          <w:b w:val="0"/>
          <w:bCs w:val="0"/>
          <w:sz w:val="32"/>
        </w:rPr>
        <w:t>5.</w:t>
      </w:r>
      <w:r>
        <w:rPr>
          <w:rFonts w:hint="default" w:ascii="Times New Roman" w:hAnsi="Times New Roman" w:eastAsia="仿宋_GB2312" w:cs="Times New Roman"/>
          <w:b w:val="0"/>
          <w:bCs w:val="0"/>
          <w:sz w:val="32"/>
          <w:lang w:val="zh-CN"/>
        </w:rPr>
        <w:t>资助体系</w:t>
      </w:r>
      <w:bookmarkEnd w:id="33"/>
      <w:bookmarkEnd w:id="34"/>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实施“严、奖”结合，加强制度建设，完善资助育人体系，进一步实现精准资助，已经形成以严家显奖学金、研究生国家奖学金、研究生学业奖学金、研究生“三助”经费、国家助学贷款、研究生困难补助等构成的较为完善的研究生奖助贷体系。在学院多元丰富的学生资助资金投入体系下，建立和完善了科学的研究生培养激励机制，健全了奖优、酬劳、助困相结合的长效且多元的奖助体系。学院确保学生资助资金及时、准确、安全、有效提供给学生，做到“应助尽助”。2022年各类奖助学金共计发放60人次，共计32万余元。</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35" w:name="_Toc10198"/>
      <w:bookmarkStart w:id="36" w:name="_Toc29307"/>
      <w:r>
        <w:rPr>
          <w:rFonts w:hint="default" w:ascii="Times New Roman" w:hAnsi="Times New Roman" w:eastAsia="仿宋_GB2312" w:cs="Times New Roman"/>
          <w:b w:val="0"/>
          <w:bCs w:val="0"/>
          <w:sz w:val="32"/>
        </w:rPr>
        <w:t>6.管理服务</w:t>
      </w:r>
      <w:bookmarkEnd w:id="35"/>
      <w:bookmarkEnd w:id="36"/>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（1）形成了较为完善的研究生教育管理与服务校院二级管理体制</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2012年学校成立了研究生院，设有研究生招生办公室、培养办公室、专业学位管理办公室、学位办公室、学位授权点建设与质量监督办公室、博士后管理办公室、院办公室，负责学位与研究生教育发展规划、服务与监督等工作。2013年成立了党委研究生工作部，设有研究生教育管理科，负责研究生思想政治教育和学生事务管理。学校设有学位评定委员会、教学指导委员会、专业学位教育指导委员会、研究生招生工作领导小组、学位授权点评估工作领导小组等工作机构。学院相应成立学位评定分委员会、教授委员会、研究生招生工作领导小组等工作机构，配备分管学生（含研究生）思想政治教育工作党委副书记1名，研究生辅导员1名，分管学位与研究生教育副院长1名，研究生教学秘书1名，为研究生教育教学提供有力的管理机制和人员保障。</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（2）教学文件齐全，教学档案完整</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。设有专门的档案室1间，规范管理教学文件和档案，将教学大纲、案例、教案、多媒体课件、试卷、研究生个人培养计划、开题报告、学位论文及各种教学辅助材料等分类归档。</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（3）教学管理制度健全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。严格执行课程审查、教学过程管理、个人培养计划变更等制度，教学方案和计划的变动遵循规定的程序。</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（4）建立有效的教学与管理质量评估制度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建立学生评教制度，向学生发放教学满意度调查表，100%学生参与所有课程评教，并把调查结果作为是否续聘的依据，重点考察任课教师的教学态度、内容、方法和效果。每学期开展一次教学管理满意度调查，并每年至少召开1次师生共同参与的教学质量提升研讨会。</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37" w:name="_Toc5304"/>
      <w:bookmarkStart w:id="38" w:name="_Toc28315"/>
      <w:r>
        <w:rPr>
          <w:rFonts w:hint="default" w:ascii="Times New Roman" w:hAnsi="Times New Roman" w:eastAsia="仿宋_GB2312" w:cs="Times New Roman"/>
          <w:b w:val="0"/>
          <w:bCs w:val="0"/>
          <w:sz w:val="32"/>
          <w:szCs w:val="32"/>
        </w:rPr>
        <w:t>（四）人才培养</w:t>
      </w:r>
      <w:bookmarkEnd w:id="37"/>
      <w:bookmarkEnd w:id="38"/>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39" w:name="_Toc1091"/>
      <w:bookmarkStart w:id="40" w:name="_Toc16514"/>
      <w:r>
        <w:rPr>
          <w:rFonts w:hint="default" w:ascii="Times New Roman" w:hAnsi="Times New Roman" w:eastAsia="仿宋_GB2312" w:cs="Times New Roman"/>
          <w:b w:val="0"/>
          <w:bCs w:val="0"/>
          <w:sz w:val="32"/>
        </w:rPr>
        <w:t>1.思想政治教育</w:t>
      </w:r>
      <w:bookmarkEnd w:id="39"/>
      <w:bookmarkEnd w:id="40"/>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以习近平新时代中国特色社会主义思想为指导，深入学习贯彻党的二十大精神、贯彻落实校党委党建和思想政治工作守正创新“八大工程”，不断推进“三全育人”综合改革。一是促成“三全育人”从试点到形成长效机制。作为学校首批三全育人综合改革试点学院，学院承担了实践育人、文化育人等八个项目，其中《“五个上线”网络育人工作机制研究（网络育人）》《 “四制五支五翼三融三润”培养“一懂两爱”乡村治理人才组织育人体系的构建与实施（组织育人）》等2个项目入选2022年首批校“三全育人”综合改革暨思政工作精品项目。二是用专业比赛引导青年，深入推进理论学习。三是依托三个中心，拓宽专业发展育人新平台。即依托“大学生领导力发展中心”，通过第二课堂实践提升学生的管理能力、领导能力；依托学院团委宣传部门创建融媒体中心，建立了一个团结高效的学院融媒体宣传矩阵。四是主动组织谋划，社会实践效果好。积极开展“三下乡”社会实践，累计推荐校、院两级各类实践队伍超过19支，累计参与师生超过200人次，形成乐龄学堂实践队等多支品牌特色队伍，被人民网、新华社、学习强国等各级各类媒体和网站报道160余篇，乐龄学堂项目荣获省志愿服务优秀项目，荣获2022年福建省青年“148”法治志愿服务平台“优秀青年法律志愿者”和2022年省志愿服务项目大赛银奖等。五是强化日常管理，营造安全谐和文化氛围。落实宿舍管理制度，开展为期14周的违规电器与高功率电器的排查工作，清除安全隐患24起；组织开展宿舍消防安全隐患专项突击排查工作5次和宿舍走廊逃生通道隐患专项清洁工作3次；组织校院文明宿舍评选活动，共有17间宿舍和个人获评校文明宿舍相关称号；组织开展“一瞥寝人心”宿舍装饰大赛和第九届学生宿舍文化节系列活动，在学院上下掀起以青春活力、节能环保、学史崇德和热爱运动的热潮。</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41" w:name="_Toc17058"/>
      <w:bookmarkStart w:id="42" w:name="_Toc32448"/>
      <w:r>
        <w:rPr>
          <w:rFonts w:hint="default" w:ascii="Times New Roman" w:hAnsi="Times New Roman" w:eastAsia="仿宋_GB2312" w:cs="Times New Roman"/>
          <w:b w:val="0"/>
          <w:bCs w:val="0"/>
          <w:sz w:val="32"/>
        </w:rPr>
        <w:t>2.师德师风建设</w:t>
      </w:r>
      <w:bookmarkEnd w:id="41"/>
      <w:bookmarkEnd w:id="42"/>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以习近平新时代中国特色社会主义思想为指导，深入学习贯彻党的二十大精神、推动师生深悟“两个确立”的重要意义，不断增强“四个意识”，坚定“四个自信”，坚决做到“两个维护”，贯彻落实校党委党建和思想政治工作守正创新“八大工程”和党的建设“一十百千万”计划，不断加强师德师风建设。</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（1）制定了《教师政治理论学习计划》</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个月组织教师开展政治理论学习，把学习宣传贯彻党的二十大精神作为首要政治任务，制定了学院学习贯彻党的二十大精神实施方案，通过宣讲培训、学习研讨、党课、教师政治理论学习、主题活动等，多形式分层次组织教师深学细悟党的二十大精神。学院党委书记、院长带头，组织党委班子成员开展党的二十大精神宣讲报告6场；党支部通过专题研讨、书记讲党课等形式，线上线下结合，组织“学习贯彻党的二十大精神，坚定初心使命跟党走”“忠诚于党、坚定信念、服务师生、追求卓越”等主题党日活动100多场次；党支部书记讲“学习《中国共产党章程（修正案）》”等党课30多场次。</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（2）开展师德师风专题学习教育</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，落实好“锻造工程”和“清风工程”，组织全院专任教师参加“学习二十大精神、培根铸魂育新人” 2022年省高校教师思想政治和师德师风专题教育网络研修班；召开学院师德师风教育专题会议，传达学习了校纪委下发的违纪违法案例和教育部通报的违反教师职业行为十项准则典型案例；邀请校审计处副处长为学院全体教职工作审计政策专题培训将政策学习宣讲与通报典型案例相结合开展警示教育。</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（3）健全师德师风建设机制</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。开展师德师风和意识形态工作反向测评，对参评校“优秀教师”“优秀教育工作者”和职称晋升的老师进行师德师风和意识形态工作反向测评。落实好“榜样工程”，做好教师党员先进典型选树和表彰。</w:t>
      </w:r>
      <w:r>
        <w:rPr>
          <w:rFonts w:hint="default" w:ascii="Times New Roman" w:hAnsi="Times New Roman" w:eastAsia="仿宋_GB2312" w:cs="Times New Roman"/>
          <w:b w:val="0"/>
          <w:bCs w:val="0"/>
          <w:color w:val="000000" w:themeColor="text1"/>
          <w:spacing w:val="-2"/>
          <w:sz w:val="32"/>
          <w:szCs w:val="32"/>
          <w14:textFill>
            <w14:solidFill>
              <w14:schemeClr w14:val="tx1"/>
            </w14:solidFill>
          </w14:textFill>
        </w:rPr>
        <w:t>2022年获评校优秀教师、校优秀辅导员、校优秀班主任各1名</w:t>
      </w:r>
      <w:bookmarkStart w:id="43" w:name="_Toc28978"/>
      <w:bookmarkStart w:id="44" w:name="_Toc29795"/>
      <w:r>
        <w:rPr>
          <w:rFonts w:hint="default" w:ascii="Times New Roman" w:hAnsi="Times New Roman" w:eastAsia="仿宋_GB2312" w:cs="Times New Roman"/>
          <w:b w:val="0"/>
          <w:bCs w:val="0"/>
          <w:color w:val="000000" w:themeColor="text1"/>
          <w:spacing w:val="-2"/>
          <w:sz w:val="32"/>
          <w:szCs w:val="32"/>
          <w14:textFill>
            <w14:solidFill>
              <w14:schemeClr w14:val="tx1"/>
            </w14:solidFill>
          </w14:textFill>
        </w:rPr>
        <w:t>。</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r>
        <w:rPr>
          <w:rFonts w:hint="default" w:ascii="Times New Roman" w:hAnsi="Times New Roman" w:eastAsia="仿宋_GB2312" w:cs="Times New Roman"/>
          <w:b w:val="0"/>
          <w:bCs w:val="0"/>
          <w:sz w:val="32"/>
        </w:rPr>
        <w:t>3.招生选拔</w:t>
      </w:r>
      <w:bookmarkEnd w:id="43"/>
      <w:bookmarkEnd w:id="44"/>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以选拔优秀人才理念为核心，积极寻求在招生规模和生源质量上突破。加大对考生综合素质、发展潜能方面的考核力度，进一步深化研究生和导师双向选择，同时加大接收推免生的力度。2022年招收研究生42名，其中推免生5名，全国统考一志愿上线人数超过招生指标数，初试总分最高超过国家线79分，生源质量有较大提升。</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（1）加大招生宣传的力度，建立招生宣传长效机制</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采取常态化宣传与集中宣传相结合的方式，优化“互联网+”招生宣传手段，不断扩大招生宣传广度，进一步提高学院研究生生源质量。通过中国教育在线掌上考研平台举办了2023年硕士研究生招生线上宣讲会，共吸引到了5000多人/次观看。还通过开展学术会议、组织专家开展社会服务，发挥科研优势等统筹规划对外宣传，充分展示办学点办学实力和人才培养质量。建立相对稳定的招生宣传队伍，利用电话、QQ、学院官网以及微信公众号等渠道不断完善招生宣传。</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（2）规范招生工作，实施全过程监督</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围绕网络远程复试的新形式、新要求，制定了研究生复试录取工作实施细则、复试试题库建设方案、远程复试考场规则等，规范复试录取工作的各个环节。学院实施多层次、多维度的培训方案，确保复试工作参与人员培训全覆盖；制定网络远程复试面试系统考生操作指南，实现考生远程复试设备调试标准化。认真执行“一平台、两识别、三随机、四比对”的要求，采用“双机位”，全方位监控考生复试；执行考前对考生身份证、准考证与视频人像进行核验，确认考生身份真实；做到考生复试顺序、专家分组、试题抽取三随机，院党委纪检委员监督复试录取工作全过程，确保招生工作顺利进行。</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45" w:name="_Toc25300"/>
      <w:bookmarkStart w:id="46" w:name="_Toc12650"/>
      <w:r>
        <w:rPr>
          <w:rFonts w:hint="default" w:ascii="Times New Roman" w:hAnsi="Times New Roman" w:eastAsia="仿宋_GB2312" w:cs="Times New Roman"/>
          <w:b w:val="0"/>
          <w:bCs w:val="0"/>
          <w:sz w:val="32"/>
        </w:rPr>
        <w:t>4.课程教学</w:t>
      </w:r>
      <w:bookmarkEnd w:id="45"/>
      <w:bookmarkEnd w:id="46"/>
    </w:p>
    <w:p>
      <w:pPr>
        <w:pStyle w:val="2"/>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（1）进一步凝练学科方向，契合社会需求</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四个面向”，围绕“双碳”战略和我省“四大经济”等对人才培养的需求，在公共管理学科中设置应急管理方向，从“学位课-学科必修课-方向必修课-方向选修课”的课程体系入手，不断强化专业特点，优化课程设置，使各专业方向人才培养特色更加鲜明。</w:t>
      </w:r>
      <w:r>
        <w:rPr>
          <w:rFonts w:hint="default" w:ascii="Times New Roman" w:hAnsi="Times New Roman" w:eastAsia="仿宋_GB2312" w:cs="Times New Roman"/>
          <w:b w:val="0"/>
          <w:bCs w:val="0"/>
          <w:sz w:val="32"/>
          <w:szCs w:val="32"/>
        </w:rPr>
        <w:t>加强学科交叉融合和政产学研用融合，结合我校农林学科优势，新增了“生物灾害管理”“数字治理专题”“大数据与统计分析”“乡村振兴理论与实践专题”等4门课程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，努力构建多学科交叉培养复合型人才的路径，实行交叉学科导师作为第一导师指导研究生。</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（2）积极发挥课程教学在研究生培养中的作用</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注重夯实专业基础，新增了“当代政治学”“当代中国政府与政治”等核心课程。强化科学方法，注重提高研究生独立从事科学研究的能力和创新能力，增设了“大数据与统计分析”等课程，形成了“社会研究方法”“公共政策评估的计量方法（双语）”“质性研究方法”“统计分析与软件”“地理信息系统与遥感应用”“公共管理案例分析”等相对完整的本学科研究方法类课程体系，供学生选读。坚持“五育并举”，开设了富有特色的体育、美育类课程，帮助学生在体育锻炼中享受乐趣、增强体质，美育教学中提升审美素养、激发创造创新活力。</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（3）利用优质教育资源，推进研究生教育国际化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。开设多门外语类选修课，并聘请美国奥本大学张耀启教授、牛津大学Jennifer Holdaway研究员等承担相关课程的英文教学工作。通过海峡公管讲坛、乡村振兴大讲堂，定期邀请国内外学者举办学术讲座，浓厚学术交流和研讨氛围，提升研究生课堂教学效果。</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（4）充分挖掘育人资源，将思政元素融入专业课程体系</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。找准课程教学的切入点，开展课程思政教育教学改革和课程建设，强化思想理论教育和价值引领，开展一流研究生课程培育工作，资助5门课程建设，有2门课程获批校思政示范课建设研究生教改项目。</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（5）加强案例教学，改革教学内容和方式</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推进“教学案例库+课程实践+学科竞赛+激励机制”四位一体研究生案例教学，鼓励学术型和专业型硕士研究生共同参与案例研发，并广泛动员研究生参与案例大赛。累计有38篇案例入选中国中国专业学位教学案例中心教学公共管理案例库；在中国研究生公共管理案例大赛中获二等奖2项、三等奖1项、优秀奖6项，连续5次获得优秀组织奖，获奖等次和数量在全省均居第一；在清华大学主办的中国公共政策案例分析大赛中获一等奖1项、三等奖2项。</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47" w:name="_Toc18472"/>
      <w:bookmarkStart w:id="48" w:name="_Toc12859"/>
      <w:r>
        <w:rPr>
          <w:rFonts w:hint="default" w:ascii="Times New Roman" w:hAnsi="Times New Roman" w:eastAsia="仿宋_GB2312" w:cs="Times New Roman"/>
          <w:b w:val="0"/>
          <w:bCs w:val="0"/>
          <w:sz w:val="32"/>
        </w:rPr>
        <w:t>5.导师管理</w:t>
      </w:r>
      <w:bookmarkEnd w:id="47"/>
      <w:bookmarkEnd w:id="48"/>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（1）健全导师工作规范，引导教师认真教书育人</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进一步强化导师的思想政治教育责任，引导研究生树立正确的世界观人生观价值观，恪守学术道德规范，推进研究生培养模式和机制改革，提高研究生培养质量。充分发挥研究生导师的作用，积极推进研究生导师指导研究生开展“五个一”活动。全面落实导师立德树人根本任务，发挥导师团队在推进“双一流”建设和人才培养中的示范引领作用。1支省级硕士研究生导师团队通过验收。</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（2）严格导师准入制度，加强考核管理</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落实《公共管理与法学院硕士研究生指导教师招生资格认定与管理实施细则（试行）》，进一步优化导师遴选条件和程序，每年对导师招生资格进行认定，确保将政治素质过硬、师德师风高尚、业务素质精湛的教师吸纳进入导师队伍。2022年新增4名博士生导师，2名学术型硕士生导师，认定在岗校内外学术型硕导26人。修订了《公共管理与法学院硕士生导师招生名额分配办法》，进一步推进硕士生招生指标的规范化。确立了导师指导过程与指导结果双向监管的导师责任制。对不履行导师职责，难以保证培养质量的导师，减少或取消1-3年的招生资格。</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（3）持续开展导师能力提升工程</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。增强导师责任意识和育人观念，帮助导师提高责任意识，明确导师岗位职责，提升育人水平。</w:t>
      </w:r>
      <w:r>
        <w:rPr>
          <w:rFonts w:hint="default" w:ascii="Times New Roman" w:hAnsi="Times New Roman" w:eastAsia="仿宋_GB2312" w:cs="Times New Roman"/>
          <w:b w:val="0"/>
          <w:bCs w:val="0"/>
          <w:spacing w:val="-8"/>
          <w:sz w:val="32"/>
          <w:szCs w:val="32"/>
        </w:rPr>
        <w:t>每年组织导师参加全省研究生导师培训会，举办一次院级研究生导师培训班。</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49" w:name="_Toc15307"/>
      <w:bookmarkStart w:id="50" w:name="_Toc27170"/>
      <w:r>
        <w:rPr>
          <w:rFonts w:hint="default" w:ascii="Times New Roman" w:hAnsi="Times New Roman" w:eastAsia="仿宋_GB2312" w:cs="Times New Roman"/>
          <w:b w:val="0"/>
          <w:bCs w:val="0"/>
          <w:sz w:val="32"/>
        </w:rPr>
        <w:t>6.学术训练</w:t>
      </w:r>
      <w:bookmarkEnd w:id="49"/>
      <w:bookmarkEnd w:id="50"/>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学院着力培养研究生的理论研究能力和自主学习能力，针对研究生积极开展学术前沿、学术方法、学术道德三个方面的训练。</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一是依托“海峡公管讲坛”“乡村振兴大讲堂”等积极开展学术交流</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年邀请温铁军、徐勇、叶敬忠等全国知名专家开展学术讲座13场，拓宽师生学术视野。承办了以“引导社会组织，助力乡村振兴”为主题的2022海峡科技专家论坛分会场·海峡两岸管理论坛、福建省社科界2022年学术年会“中国式现代化.美好生活.社会建设”分论坛，以及2021年福建省研究生公共管理案例大赛，增进学生对学术前沿问题的把握与思考。</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二是以重大科研项目为平台，积极推进研究生学术方法训练工作有序化。</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以导师引领，积极建设研究生科研创新团队，营造学术氛围。不定期召开研究生学术讨论会，推进研究生查阅中外文献方法训练、学术信息加工方法训练、学术表达方法训练等。</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三是注重培养研究生科研能力和创新能力。</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支持将科研成果转化应用，推动产学研用紧密结合，鼓励学生参加创新创业比赛，提升研究生创新创业能力。新增省级及以上奖励26项，其中获得福建省研究生公共管理案例大赛一等奖2项、二等奖3项、三等奖5项、优秀奖12项。获得校研究生第二届科技周“师有道，我有你——心中的好导师”征文活动一等奖1项、二等项3项、三等奖1项，研究生科技成果展“文旅福建”主题一等奖1项。学院被授予校研究生科技周“优秀组织奖”荣誉称号。</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四是以学风教育为抓手，培养研究生严谨认真的求学态度和求真务实的科学精神</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。由导师指导研究生恪守学术道德规范，倡导研究生开展学术道德及学风教育，引导研究生树立正确的学术道德观念。研究生公开发表论文56篇，其中SSCI 1篇、SCI 2篇、CSSCI/CSCD/北大中文核心期刊等15篇，《福州日报（理论版）》2篇。</w:t>
      </w:r>
      <w:bookmarkStart w:id="51" w:name="_Toc8832"/>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52" w:name="_Toc18881"/>
      <w:r>
        <w:rPr>
          <w:rFonts w:hint="default" w:ascii="Times New Roman" w:hAnsi="Times New Roman" w:eastAsia="仿宋_GB2312" w:cs="Times New Roman"/>
          <w:b w:val="0"/>
          <w:bCs w:val="0"/>
          <w:sz w:val="32"/>
          <w:szCs w:val="32"/>
        </w:rPr>
        <w:t>（五）质量监控</w:t>
      </w:r>
      <w:bookmarkEnd w:id="51"/>
      <w:bookmarkEnd w:id="52"/>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53" w:name="_Toc29667"/>
      <w:bookmarkStart w:id="54" w:name="_Toc8696"/>
      <w:r>
        <w:rPr>
          <w:rFonts w:hint="default" w:ascii="Times New Roman" w:hAnsi="Times New Roman" w:eastAsia="仿宋_GB2312" w:cs="Times New Roman"/>
          <w:b w:val="0"/>
          <w:bCs w:val="0"/>
          <w:sz w:val="32"/>
        </w:rPr>
        <w:t>1.分流淘汰</w:t>
      </w:r>
      <w:bookmarkEnd w:id="53"/>
      <w:bookmarkEnd w:id="54"/>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加强研究生培养过程管理，进一步规范研究生培养各环节考核流程，严格执行《福建农林大学学术型研究生开题报告的暂行规定》《福建农林大学学术型研究生中期考核办法》《福建农林大学申请—考核制博士生选拔实施办法（2020年修订）》。通过中期考核对研究生的学习和科研进行全面检查，未通过中期考核的研究生进行分流淘汰。中期考核合格的才能进入论文写作阶段，中期考核优秀的研究生可以申请提前毕业及硕博连读。2022年，未出现中期考核不合格的情况。</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55" w:name="_Toc15778"/>
      <w:bookmarkStart w:id="56" w:name="_Toc24458"/>
      <w:r>
        <w:rPr>
          <w:rFonts w:hint="default" w:ascii="Times New Roman" w:hAnsi="Times New Roman" w:eastAsia="仿宋_GB2312" w:cs="Times New Roman"/>
          <w:b w:val="0"/>
          <w:bCs w:val="0"/>
          <w:sz w:val="32"/>
        </w:rPr>
        <w:t>2.学位论文</w:t>
      </w:r>
      <w:bookmarkEnd w:id="55"/>
      <w:bookmarkEnd w:id="56"/>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学院修订了《福建农林大学公共管理与法学院硕士学位论文过程管理办法（试行）》，抓住学位论文选题、开题报告论证、中期考核、论文送审、答辩、学位评定等关键环节对研究生学位论文研究的进展督促和质量把关作用，进一步规范研究生培养各环节考核流程，强化过程管理，明确考核要求。健全学术不端行为的防范与惩处机制。对学术不端行为实施评奖评优、学位授予一票否决制；强化导师对研究生论文发表、论文送审的知情权、监督权与责任担当；开展专项检查，推动学位授予工作中学术道德与学术规范建设。进一步细分压实研究生、导师、学位论文答辩委员会、学位评定分委员会等在保证学位论文质量方面的责任。近两年，送审的论文获得同行专家较高评价。2022年1篇论文获得福建省研究生优秀硕士学位论文，是我校此次获评的唯一1篇文科专业学术学位硕士优秀学位论文；5篇论文获得校优秀硕士学位论文。</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57" w:name="_Toc31586"/>
      <w:bookmarkStart w:id="58" w:name="_Toc4564"/>
      <w:r>
        <w:rPr>
          <w:rFonts w:hint="default" w:ascii="Times New Roman" w:hAnsi="Times New Roman" w:eastAsia="仿宋_GB2312" w:cs="Times New Roman"/>
          <w:b w:val="0"/>
          <w:bCs w:val="0"/>
          <w:sz w:val="32"/>
        </w:rPr>
        <w:t>3.学风教育</w:t>
      </w:r>
      <w:bookmarkEnd w:id="57"/>
      <w:bookmarkEnd w:id="58"/>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全过程强化学风教育。将学风和学术道德作为研究生入学教育的重要内容，精设计、准发力、求实效，牢固树立育人为本、因材施教的思想，全面实施学风建设系统工程，制定了一系列学风建设举措，培养素质高、基础厚、能力强，具有创新精神的高层次复合型人才。</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（1）底线教育：建设学风道德制度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每年5月和9月各开展1次科学道德和学风教育月主题教育活动，将学风道德的建设宣传贯穿于研究生的学习与生活日常，引导学生树立正确观念、严守学风底线，培育良好的教风、学风。凡课程作业抄袭，以不及格处理；凡旷课、迟到、早退等，按校规校纪严肃处理。对研究生学术不端行为零容忍，严格执行学位论文检测办法，重复率≧20%的一律取消本次答辩资格。充分发挥导师第一责任人的作用，协助做好学生工作。通过加强学风道德制度建设，扭转学术研究的功利导向与浮躁风气，为师生教研工作和学习的开展营造风清气正的科研环境。</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（2）制度引导：建立综合测评导向制度</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在每年研究生会换届召开全院学生代表大会之际，通过向全院研究生征求意见修订研究生综合测评细则，做到制度引导，学风营造，引导研究生热爱学习，崇尚科研，自觉杜绝考试作弊、学术造假等不良之风，严格执行综合测评细则规定，营造良好学风。</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（3）高线引领：树立崇高学术理想</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研究生入学之初，邀请本院资深教授为新生开办学科介绍讲座，分析未来的学科前沿发展方向，鼓励研究生树立崇高学术理想、勇攀学术高峰。在学期间，学院邀请知名专家学者，围绕学生论文写作技巧、学界热点话题等主题举办学术讲座，通过对专业知识和技能的学习打好坚实的专业基础，鼓励学生在扎实专业的基础上拓宽视野、坚定创新自信、主动担当作为，始终保持对未知领域的好奇心和探索激情，跳出舒适区、勇蹚深水区、敢闯“无人区”，用专业知识真正解决实际问题，不断向科学技术广度和深度进军。</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（4）朋辈激励：砥砺学术志趣</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开展优秀校友沙龙讲座，邀请学有所成的优秀校友与在校学生进行交流，搭建了生生帮扶的平台，从单向输出到双向交流，为切实发挥朋辈榜样引领作用。开展先进典型表彰和宣传活动，对每一年度各方面表现突出的同学进行表彰，以榜样的力量引领人，以朋辈的事迹教育人。</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学生创新实践能力和综合素养不断增强，优秀典型不断涌现。2022年新增国家奖学金1人、严家显奖学金1人，其他各类奖学金36人次，评优评先获奖15人次。</w:t>
      </w:r>
    </w:p>
    <w:p>
      <w:pPr>
        <w:pStyle w:val="5"/>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rPr>
      </w:pPr>
      <w:bookmarkStart w:id="59" w:name="_Toc22234"/>
      <w:bookmarkStart w:id="60" w:name="_Toc7465"/>
      <w:r>
        <w:rPr>
          <w:rFonts w:hint="default" w:ascii="Times New Roman" w:hAnsi="Times New Roman" w:eastAsia="仿宋_GB2312" w:cs="Times New Roman"/>
          <w:b w:val="0"/>
          <w:bCs w:val="0"/>
          <w:sz w:val="32"/>
        </w:rPr>
        <w:t>4.就业发展</w:t>
      </w:r>
      <w:bookmarkEnd w:id="59"/>
      <w:bookmarkEnd w:id="60"/>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bookmarkStart w:id="61" w:name="_Toc11008"/>
      <w:r>
        <w:rPr>
          <w:rFonts w:hint="default" w:ascii="Times New Roman" w:hAnsi="Times New Roman" w:eastAsia="仿宋_GB2312" w:cs="Times New Roman"/>
          <w:b w:val="0"/>
          <w:bCs w:val="0"/>
          <w:color w:val="000000" w:themeColor="text1"/>
          <w:sz w:val="32"/>
          <w:szCs w:val="32"/>
          <w14:textFill>
            <w14:solidFill>
              <w14:schemeClr w14:val="tx1"/>
            </w14:solidFill>
          </w14:textFill>
        </w:rPr>
        <w:t>2022届毕业生有33名，截至2022年8月30日就业率72.7%，有23名同学已升学或从事本专业相关工作，其中19名同学签订就业协议（包括劳动合同）。在单位类型分布上，有2名同学在党政机关单位工作，约占6%；4名同学在高等教育单位工作，占12%；7名同学在国有企业工作，占21%。毕业生就业积极，就业涉及面广。4名学术型硕士生升学，占12%。其中赵艺雯考取西安理工大学博士研究生，皮婷婷考取南京农业大学博士研究生；翁艺青考取华南农业大学博士研究生；刘彦考取福建农林大学博士研究生。</w:t>
      </w:r>
    </w:p>
    <w:p>
      <w:pPr>
        <w:pageBreakBefore w:val="0"/>
        <w:wordWrap/>
        <w:overflowPunct/>
        <w:topLinePunct w:val="0"/>
        <w:bidi w:val="0"/>
        <w:spacing w:line="560" w:lineRule="exact"/>
        <w:ind w:firstLine="640" w:firstLineChars="200"/>
        <w:outlineLvl w:val="0"/>
        <w:rPr>
          <w:rFonts w:hint="default" w:ascii="Times New Roman" w:hAnsi="Times New Roman" w:eastAsia="黑体" w:cs="Times New Roman"/>
          <w:b w:val="0"/>
          <w:bCs w:val="0"/>
          <w:sz w:val="32"/>
          <w:szCs w:val="32"/>
        </w:rPr>
      </w:pPr>
      <w:bookmarkStart w:id="62" w:name="_Toc5435"/>
      <w:r>
        <w:rPr>
          <w:rFonts w:hint="default" w:ascii="Times New Roman" w:hAnsi="Times New Roman" w:eastAsia="黑体" w:cs="Times New Roman"/>
          <w:b w:val="0"/>
          <w:bCs w:val="0"/>
          <w:sz w:val="32"/>
          <w:szCs w:val="32"/>
        </w:rPr>
        <w:t>二、工作特色与成效</w:t>
      </w:r>
      <w:bookmarkEnd w:id="61"/>
      <w:bookmarkEnd w:id="62"/>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本一级学科为福建省重点学科、高原学科， 具有鲜明的研究特色和区域优势，在人才培养、科学研究、服务国家和地方重大战略需求上作出了积极贡献。</w:t>
      </w:r>
      <w:bookmarkStart w:id="63" w:name="_Toc12040"/>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64" w:name="_Toc31464"/>
      <w:r>
        <w:rPr>
          <w:rFonts w:hint="default" w:ascii="Times New Roman" w:hAnsi="Times New Roman" w:eastAsia="仿宋_GB2312" w:cs="Times New Roman"/>
          <w:b w:val="0"/>
          <w:bCs w:val="0"/>
          <w:sz w:val="32"/>
          <w:szCs w:val="32"/>
        </w:rPr>
        <w:t>（一）考核培训并举，提升导师立德树人</w:t>
      </w:r>
      <w:bookmarkEnd w:id="63"/>
      <w:r>
        <w:rPr>
          <w:rFonts w:hint="default" w:ascii="Times New Roman" w:hAnsi="Times New Roman" w:eastAsia="仿宋_GB2312" w:cs="Times New Roman"/>
          <w:b w:val="0"/>
          <w:bCs w:val="0"/>
          <w:sz w:val="32"/>
          <w:szCs w:val="32"/>
        </w:rPr>
        <w:t>能力</w:t>
      </w:r>
      <w:bookmarkEnd w:id="64"/>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以研究生导师培训为着力点，不断提升导师育人水平，举办了2022年研究生导师培训会，组织辅导报告6场；每年对研究生导师进行考核评价。导师立德树人考核优良，未出现违反导师行为规范的事件。不断健全研究生导师选聘办法，完成了2022年校内外硕士生导师选聘资格认定工作，1支省级硕士研究生导师团队通过验收。</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开展师德师风专题学习教育，落实好“锻造工程”和“清风工程”建设，组织全院专任教师参加“学习二十大精神、培根铸魂育新人” 2022年省高校教师思想政治和师德师风专题教育网络研修班。多次召开学院师德师风教育专题会议，传达学习相关文件精神；健全师德师风建设机制，开展师德师风和意识形态工作反向测评，落实好“榜样工程”，做好教师党员先进典型选树和表彰。</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65" w:name="_Toc28134"/>
      <w:r>
        <w:rPr>
          <w:rFonts w:hint="default" w:ascii="Times New Roman" w:hAnsi="Times New Roman" w:eastAsia="仿宋_GB2312" w:cs="Times New Roman"/>
          <w:b w:val="0"/>
          <w:bCs w:val="0"/>
          <w:sz w:val="32"/>
          <w:szCs w:val="32"/>
        </w:rPr>
        <w:t>（二）改进招生方式，保证生源质量</w:t>
      </w:r>
      <w:bookmarkEnd w:id="65"/>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学院采取常态化宣传与集中宣传相结合的方式，优化“互联网+”招生宣传手段，不断扩大招生宣传广度，进一步提高学院研究生生源质量。通过中国教育在线掌上考研平台举办了2023年硕士研究生招生线上宣讲会，共吸引到了5000多人/次观看。共招收2022级公共管理学术型硕士研究生42名。</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66" w:name="_Toc90906417"/>
      <w:bookmarkStart w:id="67" w:name="_Toc2644"/>
      <w:bookmarkStart w:id="68" w:name="_Toc21905"/>
      <w:r>
        <w:rPr>
          <w:rFonts w:hint="default" w:ascii="Times New Roman" w:hAnsi="Times New Roman" w:eastAsia="仿宋_GB2312" w:cs="Times New Roman"/>
          <w:b w:val="0"/>
          <w:bCs w:val="0"/>
          <w:sz w:val="32"/>
          <w:szCs w:val="32"/>
        </w:rPr>
        <w:t>（三）推进社会服务、科学研究与教学相互融合</w:t>
      </w:r>
      <w:bookmarkEnd w:id="66"/>
      <w:bookmarkEnd w:id="67"/>
      <w:bookmarkEnd w:id="68"/>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bookmarkStart w:id="69" w:name="_Toc5604"/>
      <w:r>
        <w:rPr>
          <w:rFonts w:hint="default" w:ascii="Times New Roman" w:hAnsi="Times New Roman" w:eastAsia="仿宋_GB2312" w:cs="Times New Roman"/>
          <w:b w:val="0"/>
          <w:bCs w:val="0"/>
          <w:color w:val="000000" w:themeColor="text1"/>
          <w:sz w:val="32"/>
          <w:szCs w:val="32"/>
          <w14:textFill>
            <w14:solidFill>
              <w14:schemeClr w14:val="tx1"/>
            </w14:solidFill>
          </w14:textFill>
        </w:rPr>
        <w:t>研究生导师注重理论与实践密切结合，做好社会服务与科学研究的同时，将相关成果带入课堂。依托平台、项目，科学研究融合育人，研究生基础扎实，创新能力突出。结合农林院校特色，秉承服务“三农”优良传统，积极主动服务各级党委政府重大决策，15份研究报告被市厅级以上部门决策采纳，服务公共决策成效明显，服务社会彰显度充分凸现。</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70" w:name="_Toc5774"/>
      <w:r>
        <w:rPr>
          <w:rFonts w:hint="default" w:ascii="Times New Roman" w:hAnsi="Times New Roman" w:eastAsia="仿宋_GB2312" w:cs="Times New Roman"/>
          <w:b w:val="0"/>
          <w:bCs w:val="0"/>
          <w:sz w:val="32"/>
          <w:szCs w:val="32"/>
        </w:rPr>
        <w:t>（四）完善质量保障体系建设</w:t>
      </w:r>
      <w:bookmarkEnd w:id="69"/>
      <w:r>
        <w:rPr>
          <w:rFonts w:hint="default" w:ascii="Times New Roman" w:hAnsi="Times New Roman" w:eastAsia="仿宋_GB2312" w:cs="Times New Roman"/>
          <w:b w:val="0"/>
          <w:bCs w:val="0"/>
          <w:sz w:val="32"/>
          <w:szCs w:val="32"/>
        </w:rPr>
        <w:t>，走内涵式发展道路</w:t>
      </w:r>
      <w:bookmarkEnd w:id="70"/>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坚持以研究生成长成才为中心，落实立德树人根本任务，紧紧围绕提高教育教学质量，走内涵式发展道路。每年修订培养方案必须经过同行论证，专家组中至少50%的成员是国务院学科评议组成员或全国MPA教指委委员。每门课程必须制订教学大纲，并经教授委员会审议后实施。建立同行督导+学生评教+领导检查的组合式督导体系，保证课程教学质量。鼓励教师开展教学研究和改革，获批研究生教育教学改革项目8项。修订学位论文管理办法和公共管理学术学位硕士研究生培养方案，增设选题评审、二次开题、二次预答辩等环节，开展优秀论文专项资助，切实提高论文质量。</w:t>
      </w:r>
    </w:p>
    <w:p>
      <w:pPr>
        <w:pageBreakBefore w:val="0"/>
        <w:wordWrap/>
        <w:overflowPunct/>
        <w:topLinePunct w:val="0"/>
        <w:bidi w:val="0"/>
        <w:spacing w:line="560" w:lineRule="exact"/>
        <w:ind w:firstLine="640" w:firstLineChars="200"/>
        <w:outlineLvl w:val="0"/>
        <w:rPr>
          <w:rFonts w:hint="default" w:ascii="Times New Roman" w:hAnsi="Times New Roman" w:eastAsia="黑体" w:cs="Times New Roman"/>
          <w:b w:val="0"/>
          <w:bCs w:val="0"/>
          <w:sz w:val="32"/>
          <w:szCs w:val="32"/>
        </w:rPr>
      </w:pPr>
      <w:bookmarkStart w:id="71" w:name="_Toc32204"/>
      <w:bookmarkStart w:id="72" w:name="_Toc23303"/>
      <w:r>
        <w:rPr>
          <w:rFonts w:hint="default" w:ascii="Times New Roman" w:hAnsi="Times New Roman" w:eastAsia="黑体" w:cs="Times New Roman"/>
          <w:b w:val="0"/>
          <w:bCs w:val="0"/>
          <w:sz w:val="32"/>
          <w:szCs w:val="32"/>
        </w:rPr>
        <w:t>三、学位点建设存在的主要问题和不足</w:t>
      </w:r>
      <w:bookmarkEnd w:id="71"/>
      <w:bookmarkEnd w:id="72"/>
    </w:p>
    <w:p>
      <w:pPr>
        <w:pStyle w:val="4"/>
        <w:pageBreakBefore w:val="0"/>
        <w:wordWrap/>
        <w:overflowPunct/>
        <w:topLinePunct w:val="0"/>
        <w:bidi w:val="0"/>
        <w:spacing w:before="0" w:line="240" w:lineRule="auto"/>
        <w:ind w:firstLine="640" w:firstLineChars="200"/>
        <w:jc w:val="both"/>
        <w:rPr>
          <w:rFonts w:hint="default" w:ascii="Times New Roman" w:hAnsi="Times New Roman" w:eastAsia="仿宋_GB2312" w:cs="Times New Roman"/>
          <w:b w:val="0"/>
          <w:bCs w:val="0"/>
          <w:sz w:val="32"/>
          <w:szCs w:val="32"/>
        </w:rPr>
      </w:pPr>
      <w:bookmarkStart w:id="73" w:name="_Toc21222"/>
      <w:bookmarkStart w:id="74" w:name="_Toc30667"/>
      <w:r>
        <w:rPr>
          <w:rFonts w:hint="default" w:ascii="Times New Roman" w:hAnsi="Times New Roman" w:eastAsia="仿宋_GB2312" w:cs="Times New Roman"/>
          <w:b w:val="0"/>
          <w:bCs w:val="0"/>
          <w:sz w:val="32"/>
          <w:szCs w:val="32"/>
        </w:rPr>
        <w:t>（一）学科特色不够鲜明</w:t>
      </w:r>
      <w:bookmarkEnd w:id="73"/>
      <w:bookmarkEnd w:id="74"/>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在国内有影响力的学科领军人才短缺，学科与农林类专业的深度融合以及交叉学科项目的</w:t>
      </w:r>
      <w:bookmarkStart w:id="91" w:name="_GoBack"/>
      <w:bookmarkEnd w:id="91"/>
      <w:r>
        <w:rPr>
          <w:rFonts w:hint="default" w:ascii="Times New Roman" w:hAnsi="Times New Roman" w:eastAsia="仿宋_GB2312" w:cs="Times New Roman"/>
          <w:b w:val="0"/>
          <w:bCs w:val="0"/>
          <w:color w:val="000000" w:themeColor="text1"/>
          <w:sz w:val="32"/>
          <w:szCs w:val="32"/>
          <w14:textFill>
            <w14:solidFill>
              <w14:schemeClr w14:val="tx1"/>
            </w14:solidFill>
          </w14:textFill>
        </w:rPr>
        <w:t>建设成效不够突出，学科特色不够鲜明。</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75" w:name="_Toc9335"/>
      <w:bookmarkStart w:id="76" w:name="_Toc22217"/>
      <w:r>
        <w:rPr>
          <w:rFonts w:hint="default" w:ascii="Times New Roman" w:hAnsi="Times New Roman" w:eastAsia="仿宋_GB2312" w:cs="Times New Roman"/>
          <w:b w:val="0"/>
          <w:bCs w:val="0"/>
          <w:sz w:val="32"/>
          <w:szCs w:val="32"/>
        </w:rPr>
        <w:t>（二）</w:t>
      </w:r>
      <w:bookmarkEnd w:id="75"/>
      <w:bookmarkStart w:id="77" w:name="_Toc8699"/>
      <w:r>
        <w:rPr>
          <w:rFonts w:hint="default" w:ascii="Times New Roman" w:hAnsi="Times New Roman" w:eastAsia="仿宋_GB2312" w:cs="Times New Roman"/>
          <w:b w:val="0"/>
          <w:bCs w:val="0"/>
          <w:sz w:val="32"/>
          <w:szCs w:val="32"/>
        </w:rPr>
        <w:t>对外开放办学广度和深度不够</w:t>
      </w:r>
      <w:bookmarkEnd w:id="76"/>
      <w:bookmarkEnd w:id="77"/>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与国（境）外大学实质性合作招生、联合培养研究生等对外合作办学项目不多，国际化合作平台有待拓展，学生国际化交流不足。</w:t>
      </w:r>
    </w:p>
    <w:p>
      <w:pPr>
        <w:pageBreakBefore w:val="0"/>
        <w:wordWrap/>
        <w:overflowPunct/>
        <w:topLinePunct w:val="0"/>
        <w:bidi w:val="0"/>
        <w:spacing w:line="560" w:lineRule="exact"/>
        <w:ind w:firstLine="640" w:firstLineChars="200"/>
        <w:outlineLvl w:val="0"/>
        <w:rPr>
          <w:rFonts w:hint="default" w:ascii="Times New Roman" w:hAnsi="Times New Roman" w:eastAsia="黑体" w:cs="Times New Roman"/>
          <w:b w:val="0"/>
          <w:bCs w:val="0"/>
          <w:sz w:val="32"/>
          <w:szCs w:val="32"/>
        </w:rPr>
      </w:pPr>
      <w:bookmarkStart w:id="78" w:name="_Toc14729"/>
      <w:bookmarkStart w:id="79" w:name="_Toc5758"/>
      <w:r>
        <w:rPr>
          <w:rFonts w:hint="default" w:ascii="Times New Roman" w:hAnsi="Times New Roman" w:eastAsia="黑体" w:cs="Times New Roman"/>
          <w:b w:val="0"/>
          <w:bCs w:val="0"/>
          <w:sz w:val="32"/>
          <w:szCs w:val="32"/>
        </w:rPr>
        <w:t>四、下一年度建设计划</w:t>
      </w:r>
      <w:bookmarkEnd w:id="78"/>
      <w:bookmarkEnd w:id="79"/>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80" w:name="_Toc4684"/>
      <w:bookmarkStart w:id="81" w:name="_Toc13940"/>
      <w:r>
        <w:rPr>
          <w:rFonts w:hint="default" w:ascii="Times New Roman" w:hAnsi="Times New Roman" w:eastAsia="仿宋_GB2312" w:cs="Times New Roman"/>
          <w:b w:val="0"/>
          <w:bCs w:val="0"/>
          <w:sz w:val="32"/>
          <w:szCs w:val="32"/>
        </w:rPr>
        <w:t>（一）</w:t>
      </w:r>
      <w:bookmarkEnd w:id="80"/>
      <w:bookmarkStart w:id="82" w:name="_Toc25353"/>
      <w:bookmarkStart w:id="83" w:name="_Toc28925"/>
      <w:r>
        <w:rPr>
          <w:rFonts w:hint="default" w:ascii="Times New Roman" w:hAnsi="Times New Roman" w:eastAsia="仿宋_GB2312" w:cs="Times New Roman"/>
          <w:b w:val="0"/>
          <w:bCs w:val="0"/>
          <w:sz w:val="32"/>
          <w:szCs w:val="32"/>
        </w:rPr>
        <w:t>优化布局结构，加强学科建设，提升学科整体实力</w:t>
      </w:r>
      <w:bookmarkEnd w:id="81"/>
      <w:bookmarkEnd w:id="82"/>
      <w:bookmarkEnd w:id="83"/>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对标“双一流”建设目标，以学科建设为龙头，调整优化专业结构，凝练学科发展方向，提升学科建设的整体水平，促进学科专业均衡发展。按照响应战略、问题导向、补充短板、突出特色、分类建设、优化环境的总体思路来推进学位点建设工作；梳理现有学位点在师资、成果、项目、平台、人才培养和社会服务方面的问题短板和优势特色，力争新增公共管理学术学位博士学位授权点。积极开展学科交流，创造良好的学科发展环境。主动融入主流，做优做强特色，持续推进公共管理高原学科建设，推进基层应急管理交叉学科建设，以高质量学科建设持续引领推动学院高质量发展。</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84" w:name="_Toc785"/>
      <w:bookmarkStart w:id="85" w:name="_Toc13764"/>
      <w:r>
        <w:rPr>
          <w:rFonts w:hint="default" w:ascii="Times New Roman" w:hAnsi="Times New Roman" w:eastAsia="仿宋_GB2312" w:cs="Times New Roman"/>
          <w:b w:val="0"/>
          <w:bCs w:val="0"/>
          <w:sz w:val="32"/>
          <w:szCs w:val="32"/>
        </w:rPr>
        <w:t>（二）夯实育人之基，建设高素质创新型师资队伍</w:t>
      </w:r>
      <w:bookmarkEnd w:id="84"/>
      <w:bookmarkEnd w:id="85"/>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建设一支政治素质过硬、业务能力精湛、育人水平高超的高素质创新型教师队伍，造就一批在省内外有重要影响的学科带头人和学术骨干，培养和建设一批高水平的创新团队和学术群体，为提高人才培养质量、增强科研创新能力、服务经济社会发展提供坚强的师资保障。实施领军人才培育行动工程，根据学校新时代“金山学者”高层次人才岗位实施办法，做好领军人才引育和高端团队建设。围绕学院发展的战略布局和学科发展方向，完善人才遴选评价机制，精准引进高层次人才。实施教师教学技能发展计划，实行青年教师导师制，抓好青年教师的培养提高工作。强化思想建设，突出文化引领，引导教师争做“四有”好老师，强化课程思政、专业知识、科学精神、创新能力的提升。</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86" w:name="_Toc29195"/>
      <w:bookmarkStart w:id="87" w:name="_Toc25836"/>
      <w:r>
        <w:rPr>
          <w:rFonts w:hint="default" w:ascii="Times New Roman" w:hAnsi="Times New Roman" w:eastAsia="仿宋_GB2312" w:cs="Times New Roman"/>
          <w:b w:val="0"/>
          <w:bCs w:val="0"/>
          <w:sz w:val="32"/>
          <w:szCs w:val="32"/>
        </w:rPr>
        <w:t>（三）着力提升立德树人成效，构建有特色高水平人才培养体系</w:t>
      </w:r>
      <w:bookmarkEnd w:id="86"/>
      <w:bookmarkEnd w:id="87"/>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实施人才培养体系提升行动计划，推进教育教学质量提升，着力培养具有优良的道德品质、扎实的专业知识、强烈的创新意识的复合型人才。实施教学质量提升工程，推进课程思政建设，构建学生教育培养融合思政教育的机制，积极培育教学成果奖。</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强化产学研融合特色培养，强化实践教学，强化职业化训练，突出产学研合作，将学科优势转化为人才培养优势。优化人才培养模式，对标新时代国家战略、社会和区域产业发展要求，构建适应区域、产业发展的高水平人才培养体系。</w:t>
      </w:r>
      <w:bookmarkStart w:id="88" w:name="_Toc445199814"/>
      <w:r>
        <w:rPr>
          <w:rFonts w:hint="default" w:ascii="Times New Roman" w:hAnsi="Times New Roman" w:eastAsia="仿宋_GB2312" w:cs="Times New Roman"/>
          <w:b w:val="0"/>
          <w:bCs w:val="0"/>
          <w:color w:val="000000" w:themeColor="text1"/>
          <w:sz w:val="32"/>
          <w:szCs w:val="32"/>
          <w14:textFill>
            <w14:solidFill>
              <w14:schemeClr w14:val="tx1"/>
            </w14:solidFill>
          </w14:textFill>
        </w:rPr>
        <w:t>深化研究生培养改革</w:t>
      </w:r>
      <w:bookmarkEnd w:id="88"/>
      <w:r>
        <w:rPr>
          <w:rFonts w:hint="default" w:ascii="Times New Roman" w:hAnsi="Times New Roman" w:eastAsia="仿宋_GB2312" w:cs="Times New Roman"/>
          <w:b w:val="0"/>
          <w:bCs w:val="0"/>
          <w:color w:val="000000" w:themeColor="text1"/>
          <w:sz w:val="32"/>
          <w:szCs w:val="32"/>
          <w14:textFill>
            <w14:solidFill>
              <w14:schemeClr w14:val="tx1"/>
            </w14:solidFill>
          </w14:textFill>
        </w:rPr>
        <w:t>，以思想政治工作为保障，以需求导向为突破口，以科研育人为抓手，以科教融合为基础，以开放合作为平台，深化“三融合”人才培养模式和研究生培养改革，推动研究生教育内涵发展再上新水平。持续加强研究生理想信念教育，进一步落实好导师立德树人职责，积极探索研究生教育改革新机制，进一步加强课程建设和管理，严格把关学位论文质量。继续做好全国案例中心福州分中心案例库建设，支持研究生参加全国案例大赛，提高学生科研创新能力和实践应用能力。加大开放办学力度，积极与国（境）大学联系与合作，在研究生联合培养上取得实质性进展，努力提高办学层次和水平。</w:t>
      </w:r>
    </w:p>
    <w:p>
      <w:pPr>
        <w:pStyle w:val="4"/>
        <w:pageBreakBefore w:val="0"/>
        <w:wordWrap/>
        <w:overflowPunct/>
        <w:topLinePunct w:val="0"/>
        <w:bidi w:val="0"/>
        <w:spacing w:before="0" w:line="560" w:lineRule="exact"/>
        <w:ind w:firstLine="640" w:firstLineChars="200"/>
        <w:jc w:val="both"/>
        <w:rPr>
          <w:rFonts w:hint="default" w:ascii="Times New Roman" w:hAnsi="Times New Roman" w:eastAsia="仿宋_GB2312" w:cs="Times New Roman"/>
          <w:b w:val="0"/>
          <w:bCs w:val="0"/>
          <w:sz w:val="32"/>
          <w:szCs w:val="32"/>
        </w:rPr>
      </w:pPr>
      <w:bookmarkStart w:id="89" w:name="_Toc26215"/>
      <w:bookmarkStart w:id="90" w:name="_Toc12317"/>
      <w:r>
        <w:rPr>
          <w:rFonts w:hint="default" w:ascii="Times New Roman" w:hAnsi="Times New Roman" w:eastAsia="仿宋_GB2312" w:cs="Times New Roman"/>
          <w:b w:val="0"/>
          <w:bCs w:val="0"/>
          <w:sz w:val="32"/>
          <w:szCs w:val="32"/>
        </w:rPr>
        <w:t>（四）强化协同发展，推进科研育人和社会服务育人，增强社会服务实效</w:t>
      </w:r>
      <w:bookmarkEnd w:id="89"/>
      <w:bookmarkEnd w:id="90"/>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通过提升创新能力、构筑科研平台、促进社会服务，努力形成学科建设、人才队伍、科学研究的良性循环机制，以高水平科学研究支撑高质量办学水平。实施科研团队培养计划，凝练方向，组建科研团队，提升科研竞争力。加强现有平台建设，强化平台内涵建设，实施常态化的创新平台建设成效评估制度。加强推进高端智库建设，增设新平台、跨学科平台，打造若干个地方、行业有较大影响力的智库，形成稳定的智库研究团队，有组织地开展理论服务、战略咨询服务，共享科研资源。</w:t>
      </w:r>
    </w:p>
    <w:p>
      <w:pPr>
        <w:pageBreakBefore w:val="0"/>
        <w:wordWrap/>
        <w:overflowPunct/>
        <w:topLinePunct w:val="0"/>
        <w:bidi w:val="0"/>
        <w:spacing w:line="560" w:lineRule="exact"/>
        <w:ind w:firstLine="640" w:firstLineChars="200"/>
        <w:jc w:val="both"/>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完善社会服务管理办法，健全完善社会服务体制机制。建立促进服务社会的动力机制，开展持续深入的实质性合作，不断提升产学研用合作的质量和水平。以乡村振兴研究院为依托，发挥省域发展规划、生态文明建设、美丽乡村建设、海洋经济、农村法治、国土空间规划、闽台乡村治理、农村人居环境整治等研究团队优势，主动融入国家和地方重大战略，以服务求支持，积极探索政产学研合作新模式，持续推动科技特派员工作，助力乡村全面振兴和福建全方位高质量发展超越，主动融入和服务福建数字经济、海洋经济、绿色经济、文旅经济。打造一支专业化服务队伍，统筹规划和具体实施学院社会服务工作。</w:t>
      </w:r>
    </w:p>
    <w:p>
      <w:pPr>
        <w:pageBreakBefore w:val="0"/>
        <w:wordWrap/>
        <w:overflowPunct/>
        <w:topLinePunct w:val="0"/>
        <w:bidi w:val="0"/>
        <w:spacing w:line="560" w:lineRule="exact"/>
        <w:ind w:firstLine="520" w:firstLineChars="200"/>
        <w:jc w:val="both"/>
        <w:rPr>
          <w:rFonts w:hint="default" w:ascii="Times New Roman" w:hAnsi="Times New Roman" w:eastAsia="宋体" w:cs="Times New Roman"/>
          <w:b w:val="0"/>
          <w:bCs w:val="0"/>
          <w:spacing w:val="-10"/>
          <w:sz w:val="28"/>
          <w:szCs w:val="28"/>
        </w:rPr>
      </w:pPr>
    </w:p>
    <w:sectPr>
      <w:footerReference r:id="rId4" w:type="default"/>
      <w:pgSz w:w="11905" w:h="16840"/>
      <w:pgMar w:top="2098" w:right="1474" w:bottom="1984" w:left="1587" w:header="0" w:footer="1276" w:gutter="0"/>
      <w:pgNumType w:start="1"/>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Times New Roman"/>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ascii="Times New Roman" w:hAnsi="Times New Roman" w:cs="Times New Roman"/>
                              <w:sz w:val="20"/>
                              <w:szCs w:val="22"/>
                            </w:rPr>
                          </w:pPr>
                          <w:r>
                            <w:rPr>
                              <w:rFonts w:ascii="Times New Roman" w:hAnsi="Times New Roman" w:cs="Times New Roman"/>
                              <w:sz w:val="20"/>
                              <w:szCs w:val="22"/>
                            </w:rPr>
                            <w:fldChar w:fldCharType="begin"/>
                          </w:r>
                          <w:r>
                            <w:rPr>
                              <w:rFonts w:ascii="Times New Roman" w:hAnsi="Times New Roman" w:cs="Times New Roman"/>
                              <w:sz w:val="20"/>
                              <w:szCs w:val="22"/>
                            </w:rPr>
                            <w:instrText xml:space="preserve"> PAGE  \* MERGEFORMAT </w:instrText>
                          </w:r>
                          <w:r>
                            <w:rPr>
                              <w:rFonts w:ascii="Times New Roman" w:hAnsi="Times New Roman" w:cs="Times New Roman"/>
                              <w:sz w:val="20"/>
                              <w:szCs w:val="22"/>
                            </w:rPr>
                            <w:fldChar w:fldCharType="separate"/>
                          </w:r>
                          <w:r>
                            <w:rPr>
                              <w:rFonts w:ascii="Times New Roman" w:hAnsi="Times New Roman" w:cs="Times New Roman"/>
                              <w:sz w:val="20"/>
                              <w:szCs w:val="22"/>
                            </w:rPr>
                            <w:t>18</w:t>
                          </w:r>
                          <w:r>
                            <w:rPr>
                              <w:rFonts w:ascii="Times New Roman" w:hAnsi="Times New Roman" w:cs="Times New Roman"/>
                              <w:sz w:val="20"/>
                              <w:szCs w:val="22"/>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v:fill on="f" focussize="0,0"/>
              <v:stroke on="f"/>
              <v:imagedata o:title=""/>
              <o:lock v:ext="edit" aspectratio="f"/>
              <v:textbox inset="0mm,0mm,0mm,0mm" style="mso-fit-shape-to-text:t;">
                <w:txbxContent>
                  <w:p>
                    <w:pPr>
                      <w:pStyle w:val="8"/>
                      <w:rPr>
                        <w:rFonts w:ascii="Times New Roman" w:hAnsi="Times New Roman" w:cs="Times New Roman"/>
                        <w:sz w:val="20"/>
                        <w:szCs w:val="22"/>
                      </w:rPr>
                    </w:pPr>
                    <w:r>
                      <w:rPr>
                        <w:rFonts w:ascii="Times New Roman" w:hAnsi="Times New Roman" w:cs="Times New Roman"/>
                        <w:sz w:val="20"/>
                        <w:szCs w:val="22"/>
                      </w:rPr>
                      <w:fldChar w:fldCharType="begin"/>
                    </w:r>
                    <w:r>
                      <w:rPr>
                        <w:rFonts w:ascii="Times New Roman" w:hAnsi="Times New Roman" w:cs="Times New Roman"/>
                        <w:sz w:val="20"/>
                        <w:szCs w:val="22"/>
                      </w:rPr>
                      <w:instrText xml:space="preserve"> PAGE  \* MERGEFORMAT </w:instrText>
                    </w:r>
                    <w:r>
                      <w:rPr>
                        <w:rFonts w:ascii="Times New Roman" w:hAnsi="Times New Roman" w:cs="Times New Roman"/>
                        <w:sz w:val="20"/>
                        <w:szCs w:val="22"/>
                      </w:rPr>
                      <w:fldChar w:fldCharType="separate"/>
                    </w:r>
                    <w:r>
                      <w:rPr>
                        <w:rFonts w:ascii="Times New Roman" w:hAnsi="Times New Roman" w:cs="Times New Roman"/>
                        <w:sz w:val="20"/>
                        <w:szCs w:val="22"/>
                      </w:rPr>
                      <w:t>18</w:t>
                    </w:r>
                    <w:r>
                      <w:rPr>
                        <w:rFonts w:ascii="Times New Roman" w:hAnsi="Times New Roman" w:cs="Times New Roman"/>
                        <w:sz w:val="20"/>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1OWQ3NjQ3MzVlZTFkZDMxODdhNWM1YWE2YmY1ODgifQ=="/>
  </w:docVars>
  <w:rsids>
    <w:rsidRoot w:val="002351D7"/>
    <w:rsid w:val="00000205"/>
    <w:rsid w:val="00022BF4"/>
    <w:rsid w:val="000631A4"/>
    <w:rsid w:val="00076B43"/>
    <w:rsid w:val="000B08F8"/>
    <w:rsid w:val="000D2CF4"/>
    <w:rsid w:val="000E082E"/>
    <w:rsid w:val="000F337D"/>
    <w:rsid w:val="00107ED3"/>
    <w:rsid w:val="00115DC1"/>
    <w:rsid w:val="00130DDE"/>
    <w:rsid w:val="001317F5"/>
    <w:rsid w:val="00140678"/>
    <w:rsid w:val="0018095C"/>
    <w:rsid w:val="00197C10"/>
    <w:rsid w:val="001A2B02"/>
    <w:rsid w:val="001B5967"/>
    <w:rsid w:val="001E6AC4"/>
    <w:rsid w:val="002046E0"/>
    <w:rsid w:val="002351D7"/>
    <w:rsid w:val="002C78A9"/>
    <w:rsid w:val="002E0A8D"/>
    <w:rsid w:val="002E1737"/>
    <w:rsid w:val="002E5237"/>
    <w:rsid w:val="00306B85"/>
    <w:rsid w:val="003442B4"/>
    <w:rsid w:val="0035340D"/>
    <w:rsid w:val="00391DFB"/>
    <w:rsid w:val="003C196B"/>
    <w:rsid w:val="003D6022"/>
    <w:rsid w:val="004013E5"/>
    <w:rsid w:val="0041332E"/>
    <w:rsid w:val="0043137B"/>
    <w:rsid w:val="004458F9"/>
    <w:rsid w:val="00457314"/>
    <w:rsid w:val="004704BD"/>
    <w:rsid w:val="00471FA2"/>
    <w:rsid w:val="00485C5E"/>
    <w:rsid w:val="004867A0"/>
    <w:rsid w:val="004C0B38"/>
    <w:rsid w:val="004E11F7"/>
    <w:rsid w:val="00554592"/>
    <w:rsid w:val="0057472E"/>
    <w:rsid w:val="00582D9C"/>
    <w:rsid w:val="00594FAD"/>
    <w:rsid w:val="005A30A2"/>
    <w:rsid w:val="005C0ABC"/>
    <w:rsid w:val="0060305F"/>
    <w:rsid w:val="00627C19"/>
    <w:rsid w:val="00684783"/>
    <w:rsid w:val="00690359"/>
    <w:rsid w:val="00692677"/>
    <w:rsid w:val="006C61F3"/>
    <w:rsid w:val="006F788A"/>
    <w:rsid w:val="00702075"/>
    <w:rsid w:val="00703408"/>
    <w:rsid w:val="0071717C"/>
    <w:rsid w:val="00737D5A"/>
    <w:rsid w:val="00753649"/>
    <w:rsid w:val="00771297"/>
    <w:rsid w:val="00785E15"/>
    <w:rsid w:val="007A4443"/>
    <w:rsid w:val="007A4BA1"/>
    <w:rsid w:val="007C6993"/>
    <w:rsid w:val="007E64E9"/>
    <w:rsid w:val="00804068"/>
    <w:rsid w:val="008222EC"/>
    <w:rsid w:val="00825EC4"/>
    <w:rsid w:val="008568A4"/>
    <w:rsid w:val="0087663D"/>
    <w:rsid w:val="00881E86"/>
    <w:rsid w:val="008A6E0C"/>
    <w:rsid w:val="008E2312"/>
    <w:rsid w:val="008F2F9B"/>
    <w:rsid w:val="0092076C"/>
    <w:rsid w:val="00920A0C"/>
    <w:rsid w:val="00936EB3"/>
    <w:rsid w:val="00952B2D"/>
    <w:rsid w:val="0096611C"/>
    <w:rsid w:val="00966F43"/>
    <w:rsid w:val="009A6C4B"/>
    <w:rsid w:val="009B173C"/>
    <w:rsid w:val="009E15A5"/>
    <w:rsid w:val="009F694C"/>
    <w:rsid w:val="00A100F1"/>
    <w:rsid w:val="00A13EAA"/>
    <w:rsid w:val="00A145FA"/>
    <w:rsid w:val="00A21CDE"/>
    <w:rsid w:val="00A4288A"/>
    <w:rsid w:val="00A46E57"/>
    <w:rsid w:val="00A9475E"/>
    <w:rsid w:val="00A94E41"/>
    <w:rsid w:val="00AC207A"/>
    <w:rsid w:val="00B45E9B"/>
    <w:rsid w:val="00B55F72"/>
    <w:rsid w:val="00B94C6B"/>
    <w:rsid w:val="00BA1A2D"/>
    <w:rsid w:val="00BB724C"/>
    <w:rsid w:val="00BC62B6"/>
    <w:rsid w:val="00BD2ED0"/>
    <w:rsid w:val="00BE42B8"/>
    <w:rsid w:val="00BE6EA3"/>
    <w:rsid w:val="00BF62A2"/>
    <w:rsid w:val="00C214A8"/>
    <w:rsid w:val="00C77580"/>
    <w:rsid w:val="00CA6F4F"/>
    <w:rsid w:val="00CF5374"/>
    <w:rsid w:val="00D1390B"/>
    <w:rsid w:val="00D24489"/>
    <w:rsid w:val="00D3657C"/>
    <w:rsid w:val="00D93A29"/>
    <w:rsid w:val="00DB2970"/>
    <w:rsid w:val="00DC25C6"/>
    <w:rsid w:val="00DC4E72"/>
    <w:rsid w:val="00DE7AF3"/>
    <w:rsid w:val="00E24E6C"/>
    <w:rsid w:val="00E401BC"/>
    <w:rsid w:val="00E46B7D"/>
    <w:rsid w:val="00E701AE"/>
    <w:rsid w:val="00E70D71"/>
    <w:rsid w:val="00E8298B"/>
    <w:rsid w:val="00E93EFE"/>
    <w:rsid w:val="00EB63B3"/>
    <w:rsid w:val="00EB6E31"/>
    <w:rsid w:val="00EF14A8"/>
    <w:rsid w:val="00F163E0"/>
    <w:rsid w:val="00F23773"/>
    <w:rsid w:val="00F43F85"/>
    <w:rsid w:val="00F44A83"/>
    <w:rsid w:val="00F5559B"/>
    <w:rsid w:val="00F776B3"/>
    <w:rsid w:val="00F9531D"/>
    <w:rsid w:val="00FD5E92"/>
    <w:rsid w:val="014F4893"/>
    <w:rsid w:val="01512B4A"/>
    <w:rsid w:val="024E0D4D"/>
    <w:rsid w:val="02704AC1"/>
    <w:rsid w:val="0281606F"/>
    <w:rsid w:val="03FE638D"/>
    <w:rsid w:val="043C0FE5"/>
    <w:rsid w:val="0448585A"/>
    <w:rsid w:val="04EB7A49"/>
    <w:rsid w:val="04FD1519"/>
    <w:rsid w:val="054408A0"/>
    <w:rsid w:val="05A131E3"/>
    <w:rsid w:val="05F14806"/>
    <w:rsid w:val="0783670A"/>
    <w:rsid w:val="08093553"/>
    <w:rsid w:val="08644B38"/>
    <w:rsid w:val="089678CF"/>
    <w:rsid w:val="098679FA"/>
    <w:rsid w:val="09D45935"/>
    <w:rsid w:val="0B375B18"/>
    <w:rsid w:val="0CC47EE3"/>
    <w:rsid w:val="0D1D7202"/>
    <w:rsid w:val="0DD96E22"/>
    <w:rsid w:val="0F831B3B"/>
    <w:rsid w:val="1020374F"/>
    <w:rsid w:val="11030382"/>
    <w:rsid w:val="11F823DD"/>
    <w:rsid w:val="11F871FD"/>
    <w:rsid w:val="12515B6A"/>
    <w:rsid w:val="12597ED9"/>
    <w:rsid w:val="12DB2464"/>
    <w:rsid w:val="135B0E75"/>
    <w:rsid w:val="13AE369B"/>
    <w:rsid w:val="13C96D03"/>
    <w:rsid w:val="14221BE3"/>
    <w:rsid w:val="144C2EF5"/>
    <w:rsid w:val="145406AE"/>
    <w:rsid w:val="14592C48"/>
    <w:rsid w:val="148F451C"/>
    <w:rsid w:val="17A17DDE"/>
    <w:rsid w:val="17B31386"/>
    <w:rsid w:val="182B350C"/>
    <w:rsid w:val="18493678"/>
    <w:rsid w:val="1910625E"/>
    <w:rsid w:val="19E72434"/>
    <w:rsid w:val="1A533871"/>
    <w:rsid w:val="1A5A7C3E"/>
    <w:rsid w:val="1A7A365A"/>
    <w:rsid w:val="1AA85C76"/>
    <w:rsid w:val="1AD00269"/>
    <w:rsid w:val="1DAB37BF"/>
    <w:rsid w:val="1E1118FC"/>
    <w:rsid w:val="1E8E20FF"/>
    <w:rsid w:val="1F5D0F05"/>
    <w:rsid w:val="1F7A491A"/>
    <w:rsid w:val="1FAB4F33"/>
    <w:rsid w:val="1FB628E0"/>
    <w:rsid w:val="202B7FBC"/>
    <w:rsid w:val="21F453A3"/>
    <w:rsid w:val="24276DE3"/>
    <w:rsid w:val="252D7E75"/>
    <w:rsid w:val="25476ABC"/>
    <w:rsid w:val="257255EF"/>
    <w:rsid w:val="25DF5936"/>
    <w:rsid w:val="25FC06C6"/>
    <w:rsid w:val="260C62AF"/>
    <w:rsid w:val="26B91CE3"/>
    <w:rsid w:val="274D5EF0"/>
    <w:rsid w:val="27AC7A9A"/>
    <w:rsid w:val="285F1A52"/>
    <w:rsid w:val="293033C2"/>
    <w:rsid w:val="2A222295"/>
    <w:rsid w:val="2A3526B7"/>
    <w:rsid w:val="2AD85077"/>
    <w:rsid w:val="2CB768C6"/>
    <w:rsid w:val="2D3617F0"/>
    <w:rsid w:val="2EF2727F"/>
    <w:rsid w:val="2FD8767E"/>
    <w:rsid w:val="312513D0"/>
    <w:rsid w:val="31CC460C"/>
    <w:rsid w:val="323D7C6C"/>
    <w:rsid w:val="32613430"/>
    <w:rsid w:val="32EB3220"/>
    <w:rsid w:val="33F67C2C"/>
    <w:rsid w:val="344352E2"/>
    <w:rsid w:val="356E5B3C"/>
    <w:rsid w:val="35CF7305"/>
    <w:rsid w:val="361C5008"/>
    <w:rsid w:val="36F46F60"/>
    <w:rsid w:val="37307DA0"/>
    <w:rsid w:val="388F5EB6"/>
    <w:rsid w:val="39EF139C"/>
    <w:rsid w:val="39FF74EE"/>
    <w:rsid w:val="3A612A91"/>
    <w:rsid w:val="3A8C02CA"/>
    <w:rsid w:val="3AA03AC2"/>
    <w:rsid w:val="3ABF4FAE"/>
    <w:rsid w:val="3B853B50"/>
    <w:rsid w:val="3D033B05"/>
    <w:rsid w:val="3D6447AC"/>
    <w:rsid w:val="3D922FC7"/>
    <w:rsid w:val="3DE03A8C"/>
    <w:rsid w:val="3DF6010D"/>
    <w:rsid w:val="3F102A25"/>
    <w:rsid w:val="40F60F8C"/>
    <w:rsid w:val="411170C5"/>
    <w:rsid w:val="41917D06"/>
    <w:rsid w:val="41955799"/>
    <w:rsid w:val="41B80006"/>
    <w:rsid w:val="429B0086"/>
    <w:rsid w:val="44A65B45"/>
    <w:rsid w:val="44CB69AA"/>
    <w:rsid w:val="458D628D"/>
    <w:rsid w:val="472B2331"/>
    <w:rsid w:val="475C698F"/>
    <w:rsid w:val="47F56027"/>
    <w:rsid w:val="488E0DCA"/>
    <w:rsid w:val="4AFC3DC2"/>
    <w:rsid w:val="4BEC408D"/>
    <w:rsid w:val="4C357A3F"/>
    <w:rsid w:val="4D981255"/>
    <w:rsid w:val="4DD01699"/>
    <w:rsid w:val="4EE35940"/>
    <w:rsid w:val="4FBC0F82"/>
    <w:rsid w:val="51917235"/>
    <w:rsid w:val="52F817C6"/>
    <w:rsid w:val="53183C17"/>
    <w:rsid w:val="53656F8B"/>
    <w:rsid w:val="5370533D"/>
    <w:rsid w:val="53C05C4A"/>
    <w:rsid w:val="541A17D8"/>
    <w:rsid w:val="54B020C8"/>
    <w:rsid w:val="554A0DF2"/>
    <w:rsid w:val="568F468B"/>
    <w:rsid w:val="5778051B"/>
    <w:rsid w:val="57A16204"/>
    <w:rsid w:val="58847AF3"/>
    <w:rsid w:val="591F781C"/>
    <w:rsid w:val="59D92425"/>
    <w:rsid w:val="59E4239E"/>
    <w:rsid w:val="5A5D684E"/>
    <w:rsid w:val="5AA07A6F"/>
    <w:rsid w:val="5B5E3FBF"/>
    <w:rsid w:val="5C4D025B"/>
    <w:rsid w:val="5C7B120D"/>
    <w:rsid w:val="5D9F3CA5"/>
    <w:rsid w:val="5E6228B5"/>
    <w:rsid w:val="5EC34E45"/>
    <w:rsid w:val="607641C6"/>
    <w:rsid w:val="619E1AF2"/>
    <w:rsid w:val="61D17769"/>
    <w:rsid w:val="6209662A"/>
    <w:rsid w:val="620F682D"/>
    <w:rsid w:val="63097CE3"/>
    <w:rsid w:val="63846BFA"/>
    <w:rsid w:val="63F45868"/>
    <w:rsid w:val="64A3015A"/>
    <w:rsid w:val="651D3191"/>
    <w:rsid w:val="6544089B"/>
    <w:rsid w:val="65DD0AB5"/>
    <w:rsid w:val="65FD72F9"/>
    <w:rsid w:val="667A5B7B"/>
    <w:rsid w:val="674737DC"/>
    <w:rsid w:val="67C65A33"/>
    <w:rsid w:val="6AA70ABD"/>
    <w:rsid w:val="6B4530C5"/>
    <w:rsid w:val="6CB95C0A"/>
    <w:rsid w:val="6CCC0EDB"/>
    <w:rsid w:val="6E0A0DD3"/>
    <w:rsid w:val="6E7D0905"/>
    <w:rsid w:val="6EA504AA"/>
    <w:rsid w:val="6EB5235D"/>
    <w:rsid w:val="6FBF7D5C"/>
    <w:rsid w:val="6FEC6F3D"/>
    <w:rsid w:val="70070443"/>
    <w:rsid w:val="710621B4"/>
    <w:rsid w:val="72035AD5"/>
    <w:rsid w:val="735F508B"/>
    <w:rsid w:val="74313CA7"/>
    <w:rsid w:val="74806F69"/>
    <w:rsid w:val="75840CDB"/>
    <w:rsid w:val="76172FD8"/>
    <w:rsid w:val="76D10C67"/>
    <w:rsid w:val="77E1555C"/>
    <w:rsid w:val="78D53E51"/>
    <w:rsid w:val="78DF5353"/>
    <w:rsid w:val="79615F3F"/>
    <w:rsid w:val="79F96578"/>
    <w:rsid w:val="7A605A9A"/>
    <w:rsid w:val="7A980004"/>
    <w:rsid w:val="7A99501E"/>
    <w:rsid w:val="7AFF1095"/>
    <w:rsid w:val="7B622613"/>
    <w:rsid w:val="7C9E13FB"/>
    <w:rsid w:val="7D496A92"/>
    <w:rsid w:val="7DC720AD"/>
    <w:rsid w:val="7E077F35"/>
    <w:rsid w:val="7E0947A2"/>
    <w:rsid w:val="7E4A4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link w:val="19"/>
    <w:qFormat/>
    <w:uiPriority w:val="0"/>
    <w:pPr>
      <w:keepNext/>
      <w:keepLines/>
      <w:spacing w:before="91" w:line="185" w:lineRule="auto"/>
      <w:ind w:firstLine="590"/>
      <w:outlineLvl w:val="0"/>
    </w:pPr>
    <w:rPr>
      <w:rFonts w:eastAsia="宋体"/>
      <w:b/>
      <w:kern w:val="44"/>
      <w:sz w:val="28"/>
    </w:rPr>
  </w:style>
  <w:style w:type="paragraph" w:styleId="4">
    <w:name w:val="heading 2"/>
    <w:basedOn w:val="1"/>
    <w:next w:val="1"/>
    <w:link w:val="31"/>
    <w:unhideWhenUsed/>
    <w:qFormat/>
    <w:uiPriority w:val="0"/>
    <w:pPr>
      <w:keepNext/>
      <w:keepLines/>
      <w:spacing w:before="91" w:line="185" w:lineRule="auto"/>
      <w:ind w:firstLine="595"/>
      <w:outlineLvl w:val="1"/>
    </w:pPr>
    <w:rPr>
      <w:rFonts w:eastAsia="宋体"/>
      <w:b/>
      <w:sz w:val="28"/>
    </w:rPr>
  </w:style>
  <w:style w:type="paragraph" w:styleId="5">
    <w:name w:val="heading 3"/>
    <w:basedOn w:val="1"/>
    <w:next w:val="1"/>
    <w:unhideWhenUsed/>
    <w:qFormat/>
    <w:uiPriority w:val="9"/>
    <w:pPr>
      <w:keepNext/>
      <w:keepLines/>
      <w:spacing w:before="172" w:line="204" w:lineRule="auto"/>
      <w:ind w:firstLine="607"/>
      <w:outlineLvl w:val="2"/>
    </w:pPr>
    <w:rPr>
      <w:rFonts w:ascii="Times New Roman" w:hAnsi="Times New Roman" w:eastAsia="宋体" w:cs="Times New Roman"/>
      <w:b/>
      <w:bCs/>
      <w:sz w:val="28"/>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Times New Roman" w:hAnsi="Times New Roman" w:eastAsia="黑体"/>
      <w:sz w:val="44"/>
    </w:rPr>
  </w:style>
  <w:style w:type="paragraph" w:styleId="6">
    <w:name w:val="toc 3"/>
    <w:basedOn w:val="1"/>
    <w:next w:val="1"/>
    <w:qFormat/>
    <w:uiPriority w:val="39"/>
    <w:pPr>
      <w:ind w:left="840" w:leftChars="400"/>
    </w:pPr>
  </w:style>
  <w:style w:type="paragraph" w:styleId="7">
    <w:name w:val="Balloon Text"/>
    <w:basedOn w:val="1"/>
    <w:link w:val="26"/>
    <w:qFormat/>
    <w:uiPriority w:val="0"/>
    <w:rPr>
      <w:sz w:val="18"/>
      <w:szCs w:val="18"/>
    </w:rPr>
  </w:style>
  <w:style w:type="paragraph" w:styleId="8">
    <w:name w:val="footer"/>
    <w:basedOn w:val="1"/>
    <w:next w:val="1"/>
    <w:qFormat/>
    <w:uiPriority w:val="0"/>
    <w:pPr>
      <w:tabs>
        <w:tab w:val="center" w:pos="4153"/>
        <w:tab w:val="right" w:pos="8306"/>
      </w:tabs>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99"/>
    <w:pPr>
      <w:spacing w:beforeAutospacing="1" w:afterAutospacing="1"/>
    </w:pPr>
    <w:rPr>
      <w:rFonts w:cs="Times New Roman"/>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customStyle="1" w:styleId="19">
    <w:name w:val="标题 1 字符"/>
    <w:basedOn w:val="15"/>
    <w:link w:val="3"/>
    <w:qFormat/>
    <w:uiPriority w:val="0"/>
    <w:rPr>
      <w:rFonts w:ascii="Arial" w:hAnsi="Arial" w:cs="Arial"/>
      <w:b/>
      <w:snapToGrid w:val="0"/>
      <w:color w:val="000000"/>
      <w:kern w:val="44"/>
      <w:sz w:val="28"/>
      <w:szCs w:val="21"/>
    </w:rPr>
  </w:style>
  <w:style w:type="paragraph" w:customStyle="1" w:styleId="20">
    <w:name w:val="Fließtext"/>
    <w:basedOn w:val="1"/>
    <w:qFormat/>
    <w:uiPriority w:val="99"/>
    <w:pPr>
      <w:overflowPunct w:val="0"/>
    </w:pPr>
    <w:rPr>
      <w:kern w:val="28"/>
      <w:szCs w:val="20"/>
    </w:rPr>
  </w:style>
  <w:style w:type="character" w:customStyle="1" w:styleId="21">
    <w:name w:val="MSG_EN_FONT_STYLE_NAME_TEMPLATE_ROLE_NUMBER MSG_EN_FONT_STYLE_NAME_BY_ROLE_TEXT 2 + MSG_EN_FONT_STYLE_MODIFER_SIZE 11"/>
    <w:basedOn w:val="22"/>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22">
    <w:name w:val="MSG_EN_FONT_STYLE_NAME_TEMPLATE_ROLE_NUMBER MSG_EN_FONT_STYLE_NAME_BY_ROLE_TEXT 2_"/>
    <w:basedOn w:val="15"/>
    <w:link w:val="23"/>
    <w:qFormat/>
    <w:uiPriority w:val="0"/>
    <w:rPr>
      <w:rFonts w:ascii="宋体" w:hAnsi="宋体" w:eastAsia="宋体" w:cs="宋体"/>
      <w:sz w:val="28"/>
      <w:szCs w:val="28"/>
      <w:u w:val="none"/>
    </w:rPr>
  </w:style>
  <w:style w:type="paragraph" w:customStyle="1" w:styleId="23">
    <w:name w:val="MSG_EN_FONT_STYLE_NAME_TEMPLATE_ROLE_NUMBER MSG_EN_FONT_STYLE_NAME_BY_ROLE_TEXT 2"/>
    <w:link w:val="22"/>
    <w:qFormat/>
    <w:uiPriority w:val="0"/>
    <w:pPr>
      <w:widowControl w:val="0"/>
      <w:shd w:val="clear" w:color="auto" w:fill="FFFFFF"/>
      <w:spacing w:line="520" w:lineRule="exact"/>
      <w:jc w:val="distribute"/>
    </w:pPr>
    <w:rPr>
      <w:rFonts w:ascii="宋体" w:hAnsi="宋体" w:eastAsia="宋体" w:cs="宋体"/>
      <w:sz w:val="28"/>
      <w:szCs w:val="28"/>
      <w:lang w:val="en-US" w:eastAsia="zh-CN" w:bidi="ar-SA"/>
    </w:rPr>
  </w:style>
  <w:style w:type="character" w:customStyle="1" w:styleId="24">
    <w:name w:val="MSG_EN_FONT_STYLE_NAME_TEMPLATE_ROLE_NUMBER MSG_EN_FONT_STYLE_NAME_BY_ROLE_TEXT 2 + MSG_EN_FONT_STYLE_MODIFER_SIZE 13"/>
    <w:basedOn w:val="22"/>
    <w:qFormat/>
    <w:uiPriority w:val="0"/>
    <w:rPr>
      <w:rFonts w:ascii="宋体" w:hAnsi="宋体" w:eastAsia="宋体" w:cs="宋体"/>
      <w:b/>
      <w:bCs/>
      <w:color w:val="000000"/>
      <w:spacing w:val="0"/>
      <w:w w:val="100"/>
      <w:position w:val="0"/>
      <w:sz w:val="26"/>
      <w:szCs w:val="26"/>
      <w:u w:val="none"/>
      <w:lang w:val="zh-CN" w:eastAsia="zh-CN" w:bidi="zh-CN"/>
    </w:rPr>
  </w:style>
  <w:style w:type="paragraph" w:customStyle="1" w:styleId="25">
    <w:name w:val="MSG_EN_FONT_STYLE_NAME_TEMPLATE_ROLE_LEVEL MSG_EN_FONT_STYLE_NAME_BY_ROLE_HEADING 1"/>
    <w:basedOn w:val="1"/>
    <w:qFormat/>
    <w:uiPriority w:val="0"/>
    <w:pPr>
      <w:widowControl w:val="0"/>
      <w:shd w:val="clear" w:color="auto" w:fill="FFFFFF"/>
      <w:spacing w:after="580" w:line="260" w:lineRule="exact"/>
      <w:outlineLvl w:val="0"/>
    </w:pPr>
    <w:rPr>
      <w:rFonts w:ascii="宋体" w:hAnsi="宋体" w:eastAsia="宋体" w:cs="宋体"/>
      <w:b/>
      <w:bCs/>
      <w:sz w:val="26"/>
      <w:szCs w:val="26"/>
    </w:rPr>
  </w:style>
  <w:style w:type="character" w:customStyle="1" w:styleId="26">
    <w:name w:val="批注框文本 字符"/>
    <w:basedOn w:val="15"/>
    <w:link w:val="7"/>
    <w:qFormat/>
    <w:uiPriority w:val="0"/>
    <w:rPr>
      <w:rFonts w:ascii="Arial" w:hAnsi="Arial" w:eastAsia="Arial" w:cs="Arial"/>
      <w:snapToGrid w:val="0"/>
      <w:color w:val="000000"/>
      <w:sz w:val="18"/>
      <w:szCs w:val="18"/>
    </w:rPr>
  </w:style>
  <w:style w:type="paragraph" w:styleId="27">
    <w:name w:val="List Paragraph"/>
    <w:basedOn w:val="1"/>
    <w:unhideWhenUsed/>
    <w:qFormat/>
    <w:uiPriority w:val="99"/>
    <w:pPr>
      <w:ind w:firstLine="420" w:firstLineChars="200"/>
    </w:p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1">
    <w:name w:val="标题 2 字符"/>
    <w:basedOn w:val="15"/>
    <w:link w:val="4"/>
    <w:qFormat/>
    <w:uiPriority w:val="0"/>
    <w:rPr>
      <w:rFonts w:ascii="Arial" w:hAnsi="Arial" w:cs="Arial"/>
      <w:b/>
      <w:snapToGrid w:val="0"/>
      <w:color w:val="000000"/>
      <w:sz w:val="28"/>
      <w:szCs w:val="21"/>
    </w:rPr>
  </w:style>
  <w:style w:type="paragraph" w:customStyle="1" w:styleId="32">
    <w:name w:val="正文首行缩进 21"/>
    <w:basedOn w:val="1"/>
    <w:qFormat/>
    <w:uiPriority w:val="0"/>
    <w:pPr>
      <w:widowControl w:val="0"/>
      <w:kinsoku/>
      <w:autoSpaceDE/>
      <w:autoSpaceDN/>
      <w:adjustRightInd/>
      <w:snapToGrid/>
      <w:spacing w:after="120"/>
      <w:ind w:left="420" w:leftChars="200" w:firstLine="420" w:firstLineChars="200"/>
      <w:jc w:val="both"/>
      <w:textAlignment w:val="auto"/>
    </w:pPr>
    <w:rPr>
      <w:rFonts w:asciiTheme="minorHAnsi" w:hAnsiTheme="minorHAnsi" w:eastAsiaTheme="minorEastAsia" w:cstheme="minorBidi"/>
      <w:snapToGrid/>
      <w:color w:val="auto"/>
      <w:kern w:val="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032D4-8133-4C7C-BB37-CF8E7E27A159}">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29</Pages>
  <Words>14187</Words>
  <Characters>14594</Characters>
  <Lines>119</Lines>
  <Paragraphs>33</Paragraphs>
  <TotalTime>74</TotalTime>
  <ScaleCrop>false</ScaleCrop>
  <LinksUpToDate>false</LinksUpToDate>
  <CharactersWithSpaces>15023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2021-12-06T13:18:00Z</dcterms:created>
  <dc:creator>Administrator</dc:creator>
  <cp:lastModifiedBy>QSL</cp:lastModifiedBy>
  <dcterms:modified xsi:type="dcterms:W3CDTF">2023-04-06T01:23:06Z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5C5605E4CBDB46BFB4ADC04181C585DD</vt:lpwstr>
  </property>
</Properties>
</file>