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52"/>
          <w:szCs w:val="72"/>
        </w:rPr>
      </w:pPr>
      <w:bookmarkStart w:id="1" w:name="_GoBack"/>
    </w:p>
    <w:p>
      <w:pPr>
        <w:jc w:val="center"/>
        <w:rPr>
          <w:rFonts w:hint="eastAsia" w:ascii="黑体" w:hAnsi="黑体" w:eastAsia="黑体" w:cs="黑体"/>
          <w:b w:val="0"/>
          <w:bCs w:val="0"/>
          <w:sz w:val="52"/>
          <w:szCs w:val="72"/>
        </w:rPr>
      </w:pPr>
    </w:p>
    <w:p>
      <w:pPr>
        <w:jc w:val="center"/>
        <w:rPr>
          <w:rFonts w:ascii="黑体" w:hAnsi="黑体" w:eastAsia="黑体" w:cs="黑体"/>
          <w:b w:val="0"/>
          <w:bCs w:val="0"/>
          <w:sz w:val="52"/>
          <w:szCs w:val="72"/>
        </w:rPr>
      </w:pPr>
      <w:r>
        <w:rPr>
          <w:rFonts w:hint="eastAsia" w:ascii="黑体" w:hAnsi="黑体" w:eastAsia="黑体" w:cs="黑体"/>
          <w:b w:val="0"/>
          <w:bCs w:val="0"/>
          <w:sz w:val="52"/>
          <w:szCs w:val="72"/>
        </w:rPr>
        <w:t>学位授权点建设年度报告</w:t>
      </w:r>
    </w:p>
    <w:p>
      <w:pPr>
        <w:jc w:val="center"/>
        <w:rPr>
          <w:rFonts w:ascii="楷体" w:hAnsi="楷体" w:eastAsia="楷体" w:cs="楷体"/>
          <w:b w:val="0"/>
          <w:bCs w:val="0"/>
          <w:sz w:val="28"/>
          <w:szCs w:val="36"/>
        </w:rPr>
      </w:pPr>
      <w:r>
        <w:rPr>
          <w:rFonts w:hint="eastAsia" w:ascii="楷体" w:hAnsi="楷体" w:eastAsia="楷体" w:cs="楷体"/>
          <w:b w:val="0"/>
          <w:bCs w:val="0"/>
          <w:sz w:val="28"/>
          <w:szCs w:val="36"/>
        </w:rPr>
        <w:t>（2022年）</w:t>
      </w:r>
    </w:p>
    <w:p>
      <w:pPr>
        <w:rPr>
          <w:b w:val="0"/>
          <w:bCs w:val="0"/>
        </w:rPr>
      </w:pPr>
    </w:p>
    <w:p>
      <w:pPr>
        <w:rPr>
          <w:b w:val="0"/>
          <w:bCs w:val="0"/>
        </w:rPr>
      </w:pPr>
    </w:p>
    <w:p>
      <w:pPr>
        <w:rPr>
          <w:b w:val="0"/>
          <w:bCs w:val="0"/>
        </w:rPr>
      </w:pP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b w:val="0"/>
                <w:bCs w:val="0"/>
                <w:sz w:val="28"/>
                <w:szCs w:val="36"/>
              </w:rPr>
            </w:pPr>
            <w:r>
              <w:rPr>
                <w:rFonts w:hint="eastAsia" w:ascii="楷体" w:hAnsi="楷体" w:eastAsia="楷体" w:cs="楷体"/>
                <w:b w:val="0"/>
                <w:bCs w:val="0"/>
                <w:sz w:val="28"/>
                <w:szCs w:val="36"/>
              </w:rPr>
              <w:t xml:space="preserve">               学位授予单位</w:t>
            </w:r>
          </w:p>
        </w:tc>
        <w:tc>
          <w:tcPr>
            <w:tcW w:w="2867" w:type="dxa"/>
            <w:shd w:val="clear" w:color="auto" w:fill="auto"/>
            <w:noWrap w:val="0"/>
            <w:vAlign w:val="top"/>
          </w:tcPr>
          <w:p>
            <w:pPr>
              <w:rPr>
                <w:rFonts w:ascii="楷体" w:hAnsi="楷体" w:eastAsia="楷体" w:cs="楷体"/>
                <w:b w:val="0"/>
                <w:bCs w:val="0"/>
                <w:sz w:val="28"/>
                <w:szCs w:val="36"/>
              </w:rPr>
            </w:pPr>
            <w:r>
              <w:rPr>
                <w:rFonts w:hint="eastAsia" w:ascii="楷体" w:hAnsi="楷体" w:eastAsia="楷体" w:cs="楷体"/>
                <w:b w:val="0"/>
                <w:bCs w:val="0"/>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b w:val="0"/>
                <w:bCs w:val="0"/>
                <w:sz w:val="28"/>
                <w:szCs w:val="36"/>
              </w:rPr>
            </w:pPr>
          </w:p>
        </w:tc>
        <w:tc>
          <w:tcPr>
            <w:tcW w:w="2867" w:type="dxa"/>
            <w:shd w:val="clear" w:color="auto" w:fill="auto"/>
            <w:noWrap w:val="0"/>
            <w:vAlign w:val="top"/>
          </w:tcPr>
          <w:p>
            <w:pPr>
              <w:rPr>
                <w:rFonts w:ascii="楷体" w:hAnsi="楷体" w:eastAsia="楷体" w:cs="楷体"/>
                <w:b w:val="0"/>
                <w:bCs w:val="0"/>
                <w:sz w:val="28"/>
                <w:szCs w:val="36"/>
              </w:rPr>
            </w:pPr>
            <w:r>
              <w:rPr>
                <w:rFonts w:hint="eastAsia" w:ascii="楷体" w:hAnsi="楷体" w:eastAsia="楷体" w:cs="楷体"/>
                <w:b w:val="0"/>
                <w:bCs w:val="0"/>
                <w:sz w:val="28"/>
                <w:szCs w:val="36"/>
              </w:rPr>
              <w:t>代码  10389</w:t>
            </w:r>
          </w:p>
        </w:tc>
      </w:tr>
    </w:tbl>
    <w:p>
      <w:pPr>
        <w:rPr>
          <w:rFonts w:ascii="楷体" w:hAnsi="楷体" w:eastAsia="楷体" w:cs="楷体"/>
          <w:b w:val="0"/>
          <w:bCs w:val="0"/>
          <w:sz w:val="28"/>
          <w:szCs w:val="36"/>
        </w:rPr>
      </w:pP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b w:val="0"/>
                <w:bCs w:val="0"/>
                <w:sz w:val="28"/>
                <w:szCs w:val="36"/>
              </w:rPr>
            </w:pPr>
            <w:r>
              <w:rPr>
                <w:rFonts w:hint="eastAsia" w:ascii="楷体" w:hAnsi="楷体" w:eastAsia="楷体" w:cs="楷体"/>
                <w:b w:val="0"/>
                <w:bCs w:val="0"/>
                <w:sz w:val="28"/>
                <w:szCs w:val="36"/>
              </w:rPr>
              <w:t xml:space="preserve">               授权学科</w:t>
            </w:r>
          </w:p>
          <w:p>
            <w:pPr>
              <w:jc w:val="center"/>
              <w:rPr>
                <w:rFonts w:ascii="楷体" w:hAnsi="楷体" w:eastAsia="楷体" w:cs="楷体"/>
                <w:b w:val="0"/>
                <w:bCs w:val="0"/>
                <w:sz w:val="28"/>
                <w:szCs w:val="36"/>
              </w:rPr>
            </w:pPr>
            <w:r>
              <w:rPr>
                <w:rFonts w:hint="eastAsia" w:ascii="楷体" w:hAnsi="楷体" w:eastAsia="楷体" w:cs="楷体"/>
                <w:b w:val="0"/>
                <w:bCs w:val="0"/>
                <w:sz w:val="28"/>
                <w:szCs w:val="36"/>
              </w:rPr>
              <w:t xml:space="preserve">               （类别）</w:t>
            </w:r>
          </w:p>
        </w:tc>
        <w:tc>
          <w:tcPr>
            <w:tcW w:w="2332" w:type="dxa"/>
            <w:shd w:val="clear" w:color="auto" w:fill="auto"/>
            <w:noWrap w:val="0"/>
            <w:vAlign w:val="top"/>
          </w:tcPr>
          <w:p>
            <w:pPr>
              <w:rPr>
                <w:rFonts w:hint="eastAsia" w:ascii="楷体" w:hAnsi="楷体" w:eastAsia="楷体" w:cs="楷体"/>
                <w:b w:val="0"/>
                <w:bCs w:val="0"/>
                <w:sz w:val="28"/>
                <w:szCs w:val="36"/>
                <w:lang w:eastAsia="zh-CN"/>
              </w:rPr>
            </w:pPr>
            <w:r>
              <w:rPr>
                <w:rFonts w:hint="eastAsia" w:ascii="楷体" w:hAnsi="楷体" w:eastAsia="楷体" w:cs="楷体"/>
                <w:b w:val="0"/>
                <w:bCs w:val="0"/>
                <w:sz w:val="28"/>
                <w:szCs w:val="36"/>
              </w:rPr>
              <w:t xml:space="preserve">名称 </w:t>
            </w:r>
            <w:r>
              <w:rPr>
                <w:rFonts w:hint="eastAsia" w:ascii="楷体" w:hAnsi="楷体" w:eastAsia="楷体" w:cs="楷体"/>
                <w:b w:val="0"/>
                <w:bCs w:val="0"/>
                <w:sz w:val="28"/>
                <w:szCs w:val="36"/>
                <w:lang w:eastAsia="zh-CN"/>
              </w:rPr>
              <w:t>作物学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b w:val="0"/>
                <w:bCs w:val="0"/>
                <w:sz w:val="28"/>
                <w:szCs w:val="36"/>
              </w:rPr>
            </w:pPr>
          </w:p>
        </w:tc>
        <w:tc>
          <w:tcPr>
            <w:tcW w:w="2332" w:type="dxa"/>
            <w:shd w:val="clear" w:color="auto" w:fill="auto"/>
            <w:noWrap w:val="0"/>
            <w:vAlign w:val="top"/>
          </w:tcPr>
          <w:p>
            <w:pPr>
              <w:rPr>
                <w:rFonts w:hint="default" w:ascii="楷体" w:hAnsi="楷体" w:eastAsia="楷体" w:cs="楷体"/>
                <w:b w:val="0"/>
                <w:bCs w:val="0"/>
                <w:sz w:val="28"/>
                <w:szCs w:val="36"/>
                <w:lang w:val="en-US" w:eastAsia="zh-CN"/>
              </w:rPr>
            </w:pPr>
            <w:r>
              <w:rPr>
                <w:rFonts w:hint="eastAsia" w:ascii="楷体" w:hAnsi="楷体" w:eastAsia="楷体" w:cs="楷体"/>
                <w:b w:val="0"/>
                <w:bCs w:val="0"/>
                <w:sz w:val="28"/>
                <w:szCs w:val="36"/>
              </w:rPr>
              <w:t xml:space="preserve">代码 </w:t>
            </w:r>
            <w:r>
              <w:rPr>
                <w:rFonts w:hint="eastAsia" w:ascii="楷体" w:hAnsi="楷体" w:eastAsia="楷体" w:cs="楷体"/>
                <w:b w:val="0"/>
                <w:bCs w:val="0"/>
                <w:sz w:val="28"/>
                <w:szCs w:val="36"/>
                <w:lang w:val="en-US" w:eastAsia="zh-CN"/>
              </w:rPr>
              <w:t>0901</w:t>
            </w:r>
          </w:p>
        </w:tc>
      </w:tr>
    </w:tbl>
    <w:p>
      <w:pPr>
        <w:rPr>
          <w:rFonts w:ascii="楷体" w:hAnsi="楷体" w:eastAsia="楷体" w:cs="楷体"/>
          <w:b w:val="0"/>
          <w:bCs w:val="0"/>
          <w:sz w:val="28"/>
          <w:szCs w:val="36"/>
        </w:rPr>
      </w:pP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noWrap w:val="0"/>
            <w:vAlign w:val="center"/>
          </w:tcPr>
          <w:p>
            <w:pPr>
              <w:jc w:val="center"/>
              <w:rPr>
                <w:rFonts w:ascii="楷体" w:hAnsi="楷体" w:eastAsia="楷体" w:cs="楷体"/>
                <w:b w:val="0"/>
                <w:bCs w:val="0"/>
                <w:sz w:val="28"/>
                <w:szCs w:val="36"/>
              </w:rPr>
            </w:pPr>
            <w:r>
              <w:rPr>
                <w:rFonts w:hint="eastAsia" w:ascii="楷体" w:hAnsi="楷体" w:eastAsia="楷体" w:cs="楷体"/>
                <w:b w:val="0"/>
                <w:bCs w:val="0"/>
                <w:sz w:val="28"/>
                <w:szCs w:val="36"/>
              </w:rPr>
              <w:t xml:space="preserve">               授权级别</w:t>
            </w:r>
          </w:p>
        </w:tc>
        <w:tc>
          <w:tcPr>
            <w:tcW w:w="2347" w:type="dxa"/>
            <w:shd w:val="clear" w:color="auto" w:fill="auto"/>
            <w:noWrap w:val="0"/>
            <w:vAlign w:val="top"/>
          </w:tcPr>
          <w:p>
            <w:pPr>
              <w:rPr>
                <w:rFonts w:ascii="楷体" w:hAnsi="楷体" w:eastAsia="楷体" w:cs="楷体"/>
                <w:b w:val="0"/>
                <w:bCs w:val="0"/>
                <w:sz w:val="28"/>
                <w:szCs w:val="36"/>
              </w:rPr>
            </w:pPr>
            <w:r>
              <w:rPr>
                <w:rFonts w:hint="eastAsia" w:ascii="楷体" w:hAnsi="楷体" w:eastAsia="楷体" w:cs="楷体"/>
                <w:b w:val="0"/>
                <w:bCs w:val="0"/>
                <w:sz w:val="28"/>
                <w:szCs w:val="36"/>
                <w:lang w:eastAsia="zh-CN"/>
              </w:rPr>
              <w:t>☑</w:t>
            </w:r>
            <w:r>
              <w:rPr>
                <w:rFonts w:hint="eastAsia" w:ascii="楷体" w:hAnsi="楷体" w:eastAsia="楷体" w:cs="楷体"/>
                <w:b w:val="0"/>
                <w:bCs w:val="0"/>
                <w:sz w:val="28"/>
                <w:szCs w:val="36"/>
              </w:rPr>
              <w:t xml:space="preserve">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noWrap w:val="0"/>
            <w:vAlign w:val="top"/>
          </w:tcPr>
          <w:p>
            <w:pPr>
              <w:rPr>
                <w:rFonts w:ascii="楷体" w:hAnsi="楷体" w:eastAsia="楷体" w:cs="楷体"/>
                <w:b w:val="0"/>
                <w:bCs w:val="0"/>
                <w:sz w:val="28"/>
                <w:szCs w:val="36"/>
              </w:rPr>
            </w:pPr>
          </w:p>
        </w:tc>
        <w:tc>
          <w:tcPr>
            <w:tcW w:w="2347" w:type="dxa"/>
            <w:shd w:val="clear" w:color="auto" w:fill="auto"/>
            <w:noWrap w:val="0"/>
            <w:vAlign w:val="top"/>
          </w:tcPr>
          <w:p>
            <w:pPr>
              <w:rPr>
                <w:rFonts w:ascii="楷体" w:hAnsi="楷体" w:eastAsia="楷体" w:cs="楷体"/>
                <w:b w:val="0"/>
                <w:bCs w:val="0"/>
                <w:sz w:val="28"/>
                <w:szCs w:val="36"/>
              </w:rPr>
            </w:pPr>
            <w:r>
              <w:rPr>
                <w:rFonts w:hint="eastAsia" w:ascii="楷体" w:hAnsi="楷体" w:eastAsia="楷体" w:cs="楷体"/>
                <w:b w:val="0"/>
                <w:bCs w:val="0"/>
                <w:sz w:val="28"/>
                <w:szCs w:val="36"/>
                <w:lang w:eastAsia="zh-CN"/>
              </w:rPr>
              <w:t>☑</w:t>
            </w:r>
            <w:r>
              <w:rPr>
                <w:rFonts w:hint="eastAsia" w:ascii="楷体" w:hAnsi="楷体" w:eastAsia="楷体" w:cs="楷体"/>
                <w:b w:val="0"/>
                <w:bCs w:val="0"/>
                <w:sz w:val="28"/>
                <w:szCs w:val="36"/>
              </w:rPr>
              <w:t xml:space="preserve"> 硕士</w:t>
            </w:r>
          </w:p>
        </w:tc>
      </w:tr>
    </w:tbl>
    <w:p>
      <w:pPr>
        <w:rPr>
          <w:rFonts w:ascii="楷体" w:hAnsi="楷体" w:eastAsia="楷体" w:cs="楷体"/>
          <w:b w:val="0"/>
          <w:bCs w:val="0"/>
          <w:sz w:val="28"/>
          <w:szCs w:val="36"/>
        </w:rPr>
      </w:pPr>
    </w:p>
    <w:p>
      <w:pPr>
        <w:jc w:val="center"/>
        <w:rPr>
          <w:rFonts w:ascii="楷体" w:hAnsi="楷体" w:eastAsia="楷体" w:cs="楷体"/>
          <w:b w:val="0"/>
          <w:bCs w:val="0"/>
          <w:sz w:val="36"/>
          <w:szCs w:val="44"/>
        </w:rPr>
      </w:pPr>
    </w:p>
    <w:p>
      <w:pPr>
        <w:jc w:val="center"/>
        <w:rPr>
          <w:rFonts w:hint="eastAsia" w:ascii="方正小标宋_GBK" w:hAnsi="仿宋" w:eastAsia="方正小标宋_GBK" w:cs="Times New Roman"/>
          <w:b w:val="0"/>
          <w:bCs w:val="0"/>
          <w:sz w:val="44"/>
          <w:szCs w:val="44"/>
          <w:lang w:eastAsia="zh-CN"/>
        </w:rPr>
      </w:pPr>
      <w:r>
        <w:rPr>
          <w:rFonts w:hint="eastAsia" w:ascii="楷体" w:hAnsi="楷体" w:eastAsia="楷体" w:cs="楷体"/>
          <w:b w:val="0"/>
          <w:bCs w:val="0"/>
          <w:sz w:val="28"/>
          <w:szCs w:val="36"/>
        </w:rPr>
        <w:t>2022年12月20日</w:t>
      </w:r>
    </w:p>
    <w:p>
      <w:pPr>
        <w:snapToGrid w:val="0"/>
        <w:spacing w:line="580" w:lineRule="exact"/>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方正小标宋_GBK" w:hAnsi="仿宋" w:eastAsia="方正小标宋_GBK" w:cs="Times New Roman"/>
          <w:b w:val="0"/>
          <w:bCs w:val="0"/>
          <w:sz w:val="44"/>
          <w:szCs w:val="44"/>
          <w:lang w:val="en-US" w:eastAsia="zh-CN"/>
        </w:rPr>
        <w:t>2022年</w:t>
      </w:r>
      <w:r>
        <w:rPr>
          <w:rFonts w:hint="eastAsia" w:ascii="方正小标宋_GBK" w:hAnsi="仿宋" w:eastAsia="方正小标宋_GBK" w:cs="Times New Roman"/>
          <w:b w:val="0"/>
          <w:bCs w:val="0"/>
          <w:sz w:val="44"/>
          <w:szCs w:val="44"/>
          <w:lang w:eastAsia="zh-CN"/>
        </w:rPr>
        <w:t>作物学</w:t>
      </w:r>
      <w:r>
        <w:rPr>
          <w:rFonts w:hint="eastAsia" w:ascii="方正小标宋_GBK" w:hAnsi="仿宋" w:eastAsia="方正小标宋_GBK" w:cs="Times New Roman"/>
          <w:b w:val="0"/>
          <w:bCs w:val="0"/>
          <w:sz w:val="44"/>
          <w:szCs w:val="44"/>
        </w:rPr>
        <w:t>学位授权点建设年度报告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Hlk90385819"/>
      <w:r>
        <w:rPr>
          <w:rFonts w:hint="eastAsia" w:ascii="黑体" w:hAnsi="黑体" w:eastAsia="黑体" w:cs="黑体"/>
          <w:b w:val="0"/>
          <w:bCs w:val="0"/>
          <w:sz w:val="32"/>
          <w:szCs w:val="32"/>
        </w:rPr>
        <w:t xml:space="preserve">一、学位授权点基本情况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 w:eastAsia="楷体_GB2312" w:cs="仿宋"/>
          <w:b w:val="0"/>
          <w:bCs w:val="0"/>
          <w:sz w:val="32"/>
          <w:szCs w:val="32"/>
        </w:rPr>
      </w:pPr>
      <w:r>
        <w:rPr>
          <w:rFonts w:hint="eastAsia" w:ascii="楷体_GB2312" w:hAnsi="楷体" w:eastAsia="楷体_GB2312" w:cs="仿宋"/>
          <w:b w:val="0"/>
          <w:bCs w:val="0"/>
          <w:sz w:val="32"/>
          <w:szCs w:val="32"/>
        </w:rPr>
        <w:t>（一）目标与标准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学位点培养的研究生必须具有扎实的理论知识和较强的实践能力，富有实干和创新精神，并具备良好的学术道德和科学文化素养，符合国家和区域农业科技发展和经济建设需要的德智体美劳全面发展的作物学高级专门人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作物遗传育种培养具有高水平的研究作物遗传改良理论、方法与技术，具备扎实的遗传学和基因组学等理论基础，具备较强的遗传资源发掘、创新与利用、杂种优势利用、分子辅助标记选择等专门知识和技术的高级专门人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作物栽培学与耕作学培养具有高水平的研究作物生产理论、方法与技术，具备扎实的作物栽培学、耕作学、作物生理学等基础理论知识，包括作物区域布局、生产管理、设施栽培、田间试验等专门知识和技术的高级专门人才。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 w:eastAsia="楷体_GB2312" w:cs="仿宋"/>
          <w:b w:val="0"/>
          <w:bCs w:val="0"/>
          <w:sz w:val="32"/>
          <w:szCs w:val="32"/>
        </w:rPr>
        <w:t>（二）基本条件：</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培养方向、师资队伍、科学研究、教学科研支撑、管理服务</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培养方向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作物学一级学科博士点凝练了八个培养方向</w:t>
      </w:r>
      <w:r>
        <w:rPr>
          <w:rFonts w:hint="eastAsia" w:ascii="仿宋_GB2312" w:hAnsi="仿宋_GB2312" w:eastAsia="仿宋_GB2312" w:cs="仿宋_GB2312"/>
          <w:b w:val="0"/>
          <w:bCs w:val="0"/>
          <w:color w:val="000000" w:themeColor="text1"/>
          <w:sz w:val="32"/>
          <w:szCs w:val="32"/>
          <w14:textFill>
            <w14:solidFill>
              <w14:schemeClr w14:val="tx1"/>
            </w14:solidFill>
          </w14:textFill>
        </w:rPr>
        <w:t>，分别为</w:t>
      </w:r>
      <w:r>
        <w:rPr>
          <w:rFonts w:hint="eastAsia" w:ascii="仿宋_GB2312" w:hAnsi="仿宋_GB2312" w:eastAsia="仿宋_GB2312" w:cs="仿宋_GB2312"/>
          <w:b w:val="0"/>
          <w:bCs w:val="0"/>
          <w:color w:val="000000" w:themeColor="text1"/>
          <w:sz w:val="32"/>
          <w:szCs w:val="32"/>
          <w14:textFill>
            <w14:solidFill>
              <w14:schemeClr w14:val="tx1"/>
            </w14:solidFill>
          </w14:textFill>
        </w:rPr>
        <w:t>作物生理生态、</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作物高产优质高效</w:t>
      </w:r>
      <w:r>
        <w:rPr>
          <w:rFonts w:hint="eastAsia" w:ascii="仿宋_GB2312" w:hAnsi="仿宋_GB2312" w:eastAsia="仿宋_GB2312" w:cs="仿宋_GB2312"/>
          <w:b w:val="0"/>
          <w:bCs w:val="0"/>
          <w:color w:val="000000" w:themeColor="text1"/>
          <w:sz w:val="32"/>
          <w:szCs w:val="32"/>
          <w14:textFill>
            <w14:solidFill>
              <w14:schemeClr w14:val="tx1"/>
            </w14:solidFill>
          </w14:textFill>
        </w:rPr>
        <w:t>栽培、</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耕作制度与农田生态</w:t>
      </w:r>
      <w:r>
        <w:rPr>
          <w:rFonts w:hint="eastAsia" w:ascii="仿宋_GB2312" w:hAnsi="仿宋_GB2312" w:eastAsia="仿宋_GB2312" w:cs="仿宋_GB2312"/>
          <w:b w:val="0"/>
          <w:bCs w:val="0"/>
          <w:color w:val="000000" w:themeColor="text1"/>
          <w:sz w:val="32"/>
          <w:szCs w:val="32"/>
          <w14:textFill>
            <w14:solidFill>
              <w14:schemeClr w14:val="tx1"/>
            </w14:solidFill>
          </w14:textFill>
        </w:rPr>
        <w:t>、作物基因组学、</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作物性状的遗传基础</w:t>
      </w:r>
      <w:r>
        <w:rPr>
          <w:rFonts w:hint="eastAsia" w:ascii="仿宋_GB2312" w:hAnsi="仿宋_GB2312" w:eastAsia="仿宋_GB2312" w:cs="仿宋_GB2312"/>
          <w:b w:val="0"/>
          <w:bCs w:val="0"/>
          <w:color w:val="000000" w:themeColor="text1"/>
          <w:sz w:val="32"/>
          <w:szCs w:val="32"/>
          <w14:textFill>
            <w14:solidFill>
              <w14:schemeClr w14:val="tx1"/>
            </w14:solidFill>
          </w14:textFill>
        </w:rPr>
        <w:t>、作物遗传改良、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作物与生物</w:t>
      </w:r>
      <w:r>
        <w:rPr>
          <w:rFonts w:hint="eastAsia" w:ascii="仿宋_GB2312" w:hAnsi="仿宋_GB2312" w:eastAsia="仿宋_GB2312" w:cs="仿宋_GB2312"/>
          <w:b w:val="0"/>
          <w:bCs w:val="0"/>
          <w:color w:val="000000" w:themeColor="text1"/>
          <w:sz w:val="32"/>
          <w:szCs w:val="32"/>
          <w14:textFill>
            <w14:solidFill>
              <w14:schemeClr w14:val="tx1"/>
            </w14:solidFill>
          </w14:textFill>
        </w:rPr>
        <w:t>和非生物环境</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互作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、生物育种。</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师资队伍</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作物学一级学科博士点共有师资</w:t>
      </w:r>
      <w:r>
        <w:rPr>
          <w:rFonts w:hint="eastAsia" w:ascii="仿宋_GB2312" w:hAnsi="仿宋_GB2312" w:eastAsia="仿宋_GB2312" w:cs="仿宋_GB2312"/>
          <w:b w:val="0"/>
          <w:bCs w:val="0"/>
          <w:color w:val="000000" w:themeColor="text1"/>
          <w:sz w:val="32"/>
          <w:szCs w:val="32"/>
          <w14:textFill>
            <w14:solidFill>
              <w14:schemeClr w14:val="tx1"/>
            </w14:solidFill>
          </w14:textFill>
        </w:rPr>
        <w:t>107人，其中45岁以下60人，高级职称67人（正高35人），博士学位88人，研究生导师71人（博导25人）。</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科学研究</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2022年</w:t>
      </w:r>
      <w:r>
        <w:rPr>
          <w:rFonts w:hint="eastAsia" w:ascii="仿宋_GB2312" w:hAnsi="仿宋_GB2312" w:eastAsia="仿宋_GB2312" w:cs="仿宋_GB2312"/>
          <w:b w:val="0"/>
          <w:bCs w:val="0"/>
          <w:color w:val="000000" w:themeColor="text1"/>
          <w:sz w:val="32"/>
          <w:szCs w:val="32"/>
          <w14:textFill>
            <w14:solidFill>
              <w14:schemeClr w14:val="tx1"/>
            </w14:solidFill>
          </w14:textFill>
        </w:rPr>
        <w:t>，作物学一级学科博士点科研能力和水平稳步提升</w:t>
      </w:r>
      <w:r>
        <w:rPr>
          <w:rFonts w:hint="eastAsia" w:ascii="仿宋_GB2312" w:hAnsi="仿宋_GB2312" w:eastAsia="仿宋_GB2312" w:cs="仿宋_GB2312"/>
          <w:b w:val="0"/>
          <w:bCs w:val="0"/>
          <w:color w:val="000000" w:themeColor="text1"/>
          <w:sz w:val="32"/>
          <w:szCs w:val="32"/>
          <w14:textFill>
            <w14:solidFill>
              <w14:schemeClr w14:val="tx1"/>
            </w14:solidFill>
          </w14:textFill>
        </w:rPr>
        <w:t>，共有8项国家自然科学基金项目、6位国家现代农业产业技术体系岗位科学家、2项国家重点研发计划课题和2项子课题、23项省部级项目获得立项资助，总立项经费2962.0万元；与58个公司或生产机构签订联合研发协议108份，获得横向联合经费417.1万元；有3个甘蔗、2个马铃薯、1个花生新品种通过国家品种登记，2个水稻、2个甘蔗和4个甘薯品种获得国家植物品种权保护授权，18个水稻新品种通过国家或省级审定；获得授权国家发明专利8件、新型发明专利2项；发表学术研究论文129篇，其中影响因子超过5.0的高水平研究论文76篇、权威中文学术研究论文7篇；有4个品种和3项发明专利创新成果与相关企业签订成果转化协议，转化合同金额累计29多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水稻育种团队按照我校与建宁县人民政府签订的共建先行县的合作协议，承担了“粮食产区增产模式攻关与推广”专项任务，在建宁县溪口镇创建杂交水稻制种高产示范片面积2500亩，配套实施防虫网集中育秧、母本机插、采用“无人植保机”进行病虫害统防统治、授粉后及时割除父本等主推技术的示范应用；与福建金山种业有限公司等十多家种业公司合作，在省内外推广优质杂交稻新品种金泰优明占、金泰优1051、禾两优676、禾两优639等优良新品种，累计推广20万亩以上。麻类、甘薯、辣椒、中草药栽培、烟草等研究团队在我省各主产区开展自主选育的新品种示范展示和高产优质高效栽培、病虫害防治等技术培训与指导服务，助推乡村振兴产业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 教学科研支撑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本学位点有1个牵头建设的国家重大科技创新基地“国家甘蔗工程技术研究中心”</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1个</w:t>
      </w:r>
      <w:r>
        <w:rPr>
          <w:rFonts w:hint="eastAsia" w:ascii="仿宋_GB2312" w:hAnsi="仿宋_GB2312" w:eastAsia="仿宋_GB2312" w:cs="仿宋_GB2312"/>
          <w:b w:val="0"/>
          <w:bCs w:val="0"/>
          <w:color w:val="000000" w:themeColor="text1"/>
          <w:sz w:val="32"/>
          <w:szCs w:val="32"/>
          <w14:textFill>
            <w14:solidFill>
              <w14:schemeClr w14:val="tx1"/>
            </w14:solidFill>
          </w14:textFill>
        </w:rPr>
        <w:t>国家科技部-教育部学科创新引智基地(“111”基地)、6个部省级重点实验室、9个部省级研发中心（或基地），2022年获得国家级和省部级课题经费</w:t>
      </w:r>
      <w:r>
        <w:rPr>
          <w:rFonts w:hint="eastAsia" w:ascii="仿宋_GB2312" w:hAnsi="仿宋_GB2312" w:eastAsia="仿宋_GB2312" w:cs="仿宋_GB2312"/>
          <w:b w:val="0"/>
          <w:bCs w:val="0"/>
          <w:color w:val="000000" w:themeColor="text1"/>
          <w:sz w:val="32"/>
          <w:szCs w:val="32"/>
          <w14:textFill>
            <w14:solidFill>
              <w14:schemeClr w14:val="tx1"/>
            </w14:solidFill>
          </w14:textFill>
        </w:rPr>
        <w:t>2962.0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万元，横向经费417.1万元，研究生培养的教学科研支撑</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 管理服务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位点配有研究生管理人员，包括副书记、分管副院长、辅导员、教学秘书等，管理研究生教育日常工作。学位点高度重视安全工作，积极响应和配合学校开展安全大检查大整治工作，构建“院党委书记、院长--实验室、教学基地、各科室负责人——各区域安全员”联动安全管理责任体系，明确各级责任人职责。严格执行实验室危险化学品申购、保管和有毒废弃物分类收集处理管理规定流程。2022年，学院党委书记、分管副院长多次深入到各教学、科研实验室开展安全检查，确保实验室安全运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 w:eastAsia="楷体_GB2312" w:cs="仿宋"/>
          <w:b w:val="0"/>
          <w:bCs w:val="0"/>
          <w:sz w:val="32"/>
          <w:szCs w:val="32"/>
        </w:rPr>
        <w:t>（三）人才培养：</w:t>
      </w:r>
      <w:r>
        <w:rPr>
          <w:rFonts w:hint="eastAsia" w:ascii="仿宋_GB2312" w:hAnsi="仿宋_GB2312" w:eastAsia="仿宋_GB2312" w:cs="仿宋_GB2312"/>
          <w:b w:val="0"/>
          <w:bCs w:val="0"/>
          <w:color w:val="000000" w:themeColor="text1"/>
          <w:sz w:val="32"/>
          <w:szCs w:val="32"/>
          <w14:textFill>
            <w14:solidFill>
              <w14:schemeClr w14:val="tx1"/>
            </w14:solidFill>
          </w14:textFill>
        </w:rPr>
        <w:t>思想政治教育、师德师风建设、招生选拔、课程教学、导师管理、学术训练或实习实践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思想政治教育</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培养方案中有专门的思想政治教育课程，《科研伦理与学术规范》在线课程。2022年进行两场面向研究生的科学道德和学风建设座谈会。副书记和辅导员平时多进行宿舍走访</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师德师风建设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位点认真贯彻全国研究生教育会议和全国全省高校思想政治工作会议精神，全面落实研究生导师立德树人职责，制定《农学院关于加强研究生导师思想政治教育首要责任的实施办法》，有效规范和引导导师追求师德高线和坚守师德底线，实施导师与学生每月一次的谈心谈话和集中指导，每周一次的“一对一”指导，确保师生联系不断线。近 5 年有 17 位导师被评为福建农林大学“优秀教师”、“优秀教育工作者”。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招生选拔</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顺利完成2022年研究生招生计划，共招收博士生22人（含留学生博士2人），硕士生158人（学硕57人、专硕101人）；完成了2022年硕博导招生资格认定和遴选工作。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 课程教学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配齐配强研究生课程的任课教师，同时考虑梯队建设。授课多采用小班制，方式多采用讨论式和引导式。研究生教育教学改革项目申报取得新进展，1门课程获批省级研究生精品课程（张立武等《高级作物育种学》），学位点获批2022研究生校级课程思政示范课程1项（刘建《植物生物技术概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 导师管理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加强师德师风建设，落实导师立德树人第一责任人职责。举办了两场导师培训会。平时在导师群进行学科分类提醒，研究生防诈骗提醒，研究生心理问题提醒。</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6. 学术训练或实习实践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为激发研究生科学研究热情、营造良好的科研氛围，本年度农学院承办福建农林大学第二届科技周活动之“院长论坛”，举办“喜迎建团百年华诞 展我新农菁英风采”学院首届研究生优秀成果展，学院硕博士研究生踊跃参与，效果良好，学院获评“福建农林大学第二届研究生科技周活动优秀组织奖”。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 w:eastAsia="楷体_GB2312" w:cs="仿宋"/>
          <w:b w:val="0"/>
          <w:bCs w:val="0"/>
          <w:sz w:val="32"/>
          <w:szCs w:val="32"/>
        </w:rPr>
        <w:t>（四）质量监控：</w:t>
      </w:r>
      <w:r>
        <w:rPr>
          <w:rFonts w:hint="eastAsia" w:ascii="仿宋_GB2312" w:hAnsi="仿宋_GB2312" w:eastAsia="仿宋_GB2312" w:cs="仿宋_GB2312"/>
          <w:b w:val="0"/>
          <w:bCs w:val="0"/>
          <w:color w:val="000000" w:themeColor="text1"/>
          <w:sz w:val="32"/>
          <w:szCs w:val="32"/>
          <w14:textFill>
            <w14:solidFill>
              <w14:schemeClr w14:val="tx1"/>
            </w14:solidFill>
          </w14:textFill>
        </w:rPr>
        <w:t>分流淘汰、学位论文、学风教育</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建立校院两级教学质量保障模式，制定教学环节质量评价标准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构建校院两级教学质量保障管理模式，明确各自在教育教学质量保障中的职责，执行日常与定期相结合的教学质量监控制度，健全教学信息反馈系统，实行教学质量全过程的规范管理和教学质量的持续改进。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根据学校相关制度，在培养方案的制定与修订、教师任课资格及条件认定、课程教学大纲编制、课程教学计划等各教学环节中，提出了明确的质量要求，制定较合理的质量评价标准。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分流淘汰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严格开题论证及中期考核过程，加强学位论文和学位授予管理。第三学期开展开题论证和中期考核工作。经预开题和正式开题环节，广泛征求同行专家的意见，博采众长，开阔视野，拓宽思路，提高选题水平。严格把好论文开题质量关，以保证研究生的培养质量。中期考核工作对研究生的全面情况进行总结分析，做出综合评价，不合格者进行分流淘汰。2022年，组织完成了2021级硕博士研究生（博士生18人、学术型硕士生，54人，专业型硕士生88人）的开题论证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学位论文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严格执行学位论文答辩程序，答辩资格经学院初审、研究生院复审，审核通过方可进行学位论文检测、送审。硕博士论文均为盲审，评审合格者进入答辩环节，答辩委员会委员听取导师及评阅人的综合评语，评议学位论文水平及答辩情况。对是否同意毕业、是否同意授予学位进行表决，并形成学位论文答辩决议。2022年，上半年共送审博士学位论文16篇，送审硕士学位论文106篇（学硕50，专硕56），博士论文和学硕论文盲审全部通过，专硕论文盲审未通过2篇；下半年送审博士学位论文11篇，送审硕士学位论文7篇（学硕4，专硕3），博士论文和学硕论文盲审全部通过，专硕论文盲审未通过2篇。开展研究生学位论文答辩会共41场，博士顺利毕业28人，授予博士学位25人；硕士毕业授予硕士学位109人（其中学术型硕士52人，全日制专业硕士57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4. </w:t>
      </w:r>
      <w:r>
        <w:rPr>
          <w:rFonts w:hint="eastAsia" w:ascii="仿宋_GB2312" w:hAnsi="仿宋_GB2312" w:eastAsia="仿宋_GB2312" w:cs="仿宋_GB2312"/>
          <w:b w:val="0"/>
          <w:bCs w:val="0"/>
          <w:color w:val="000000" w:themeColor="text1"/>
          <w:sz w:val="32"/>
          <w:szCs w:val="32"/>
          <w14:textFill>
            <w14:solidFill>
              <w14:schemeClr w14:val="tx1"/>
            </w14:solidFill>
          </w14:textFill>
        </w:rPr>
        <w:t>学风教育</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举办“金谷论坛”暨学术道德规范讲座及研究生科学道德和学风建设座谈会，学院硕博士研究生踊跃参与，效果良好。</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工作特色与成效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作物学2022版研究生培养方案修订工作顺利完成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培养方案坚持育人为本、“五育并举”全面发展的教育理念，围绕本学科人才培养目标，构建以学生为中心的培养体系，促进学生全面成长发展。2022版的硕博士（含留学生）培养方案增加了美育、体育及心理健康等方面的内容。并对授课人员梯队进行了梳理完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研究生培养质量不断提升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2022年，获得福建省优博学位论文3篇、优硕学位论文1篇。研究生以第一作者在多个国际知名期刊发表论文：《Plant Cell》1篇，《The Plant Journal》1篇，《Journal of  Integrative Plant Biology》1篇，《Theoretical and Applied Genetics》1篇，《Molecular Breeding》1篇，《Frontiers in Plant Science》3篇，《Plant Physiology and Biochemistry》1篇，《International Journal of Molecular Sciences》2篇，《Journal of Natural Fibers》1篇。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2022年，共有7名研究生获国家奖学金学生，其中博士研究生2名、硕士研究生5名。学生有44人次获省、校等各级奖励荣誉，其中三好生12人次、优秀社会工作者26人次、优秀学生干部6人次。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研究生招生宣传工作采用新形式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联合中国教育在线、掌上考研举办了农学院2023年研究生招生线上宣讲会。携手学习强国、夸克、支付宝、网易有道、扇贝等互联网平台，将直播信息全网覆盖，让考生方便获取直播活动信息。我院直播点击量超3万+，直播宣讲会在招生单位和考生之间建立了高效的信息沟通渠道，达到了良好的招生宣传效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三、学位点建设存在的问题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主编或参编研究生教材没有；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省级以上研究生获奖偏少；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专硕的实践训练体系还不完善。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四、下一年度建设计划</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针对学位点建设存在的问题，提出下一年度建设改进计划，包括发展目标和保障措施。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 继续申报研究生教改项目；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 推进研究生教材主编和参编工作；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 挖掘研究生成果参加省级以上大赛</w:t>
      </w:r>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 专硕的实践训练体系不断完善。</w:t>
      </w:r>
    </w:p>
    <w:bookmarkEnd w:id="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44F34"/>
    <w:multiLevelType w:val="singleLevel"/>
    <w:tmpl w:val="C6144F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Q3NjQ3MzVlZTFkZDMxODdhNWM1YWE2YmY1ODgifQ=="/>
  </w:docVars>
  <w:rsids>
    <w:rsidRoot w:val="00445F40"/>
    <w:rsid w:val="00025558"/>
    <w:rsid w:val="000402D1"/>
    <w:rsid w:val="00042EE3"/>
    <w:rsid w:val="00060DDD"/>
    <w:rsid w:val="00063A86"/>
    <w:rsid w:val="0007138B"/>
    <w:rsid w:val="00086F3F"/>
    <w:rsid w:val="000A2B22"/>
    <w:rsid w:val="000A3C3E"/>
    <w:rsid w:val="000B34A4"/>
    <w:rsid w:val="000B3EA6"/>
    <w:rsid w:val="000D3FE0"/>
    <w:rsid w:val="000E453B"/>
    <w:rsid w:val="000E7D09"/>
    <w:rsid w:val="000F7413"/>
    <w:rsid w:val="001235EB"/>
    <w:rsid w:val="00125841"/>
    <w:rsid w:val="00130E7D"/>
    <w:rsid w:val="00150125"/>
    <w:rsid w:val="001553CF"/>
    <w:rsid w:val="00167698"/>
    <w:rsid w:val="00170D4E"/>
    <w:rsid w:val="001748A0"/>
    <w:rsid w:val="001B25C7"/>
    <w:rsid w:val="001D1B17"/>
    <w:rsid w:val="001E7BB3"/>
    <w:rsid w:val="0021139C"/>
    <w:rsid w:val="002144D0"/>
    <w:rsid w:val="0021531B"/>
    <w:rsid w:val="002249DD"/>
    <w:rsid w:val="00226EE6"/>
    <w:rsid w:val="00230168"/>
    <w:rsid w:val="002320C6"/>
    <w:rsid w:val="00234B3F"/>
    <w:rsid w:val="0024041C"/>
    <w:rsid w:val="0025265F"/>
    <w:rsid w:val="00281012"/>
    <w:rsid w:val="002818F7"/>
    <w:rsid w:val="002B1344"/>
    <w:rsid w:val="002B24F8"/>
    <w:rsid w:val="002F3195"/>
    <w:rsid w:val="003160EB"/>
    <w:rsid w:val="003270E6"/>
    <w:rsid w:val="00367052"/>
    <w:rsid w:val="003D6BBE"/>
    <w:rsid w:val="003E3E60"/>
    <w:rsid w:val="003F413D"/>
    <w:rsid w:val="0040128B"/>
    <w:rsid w:val="00424DAE"/>
    <w:rsid w:val="004405D6"/>
    <w:rsid w:val="00442AFE"/>
    <w:rsid w:val="00445F40"/>
    <w:rsid w:val="004C0E41"/>
    <w:rsid w:val="004E2AF5"/>
    <w:rsid w:val="00504656"/>
    <w:rsid w:val="00547A30"/>
    <w:rsid w:val="005805FF"/>
    <w:rsid w:val="00581B3F"/>
    <w:rsid w:val="00581C19"/>
    <w:rsid w:val="005A2DB8"/>
    <w:rsid w:val="005B0696"/>
    <w:rsid w:val="005E381D"/>
    <w:rsid w:val="006314B0"/>
    <w:rsid w:val="00636CA2"/>
    <w:rsid w:val="00642901"/>
    <w:rsid w:val="00655A1B"/>
    <w:rsid w:val="00661D64"/>
    <w:rsid w:val="006711CB"/>
    <w:rsid w:val="00682A8E"/>
    <w:rsid w:val="00691670"/>
    <w:rsid w:val="00693866"/>
    <w:rsid w:val="006F3179"/>
    <w:rsid w:val="00724674"/>
    <w:rsid w:val="007554FC"/>
    <w:rsid w:val="0076327B"/>
    <w:rsid w:val="007820D5"/>
    <w:rsid w:val="00783B57"/>
    <w:rsid w:val="00793153"/>
    <w:rsid w:val="007A6482"/>
    <w:rsid w:val="007E6974"/>
    <w:rsid w:val="007F1911"/>
    <w:rsid w:val="0082576C"/>
    <w:rsid w:val="00853350"/>
    <w:rsid w:val="008655BC"/>
    <w:rsid w:val="00866E83"/>
    <w:rsid w:val="00870DE9"/>
    <w:rsid w:val="008B639B"/>
    <w:rsid w:val="008C408C"/>
    <w:rsid w:val="008E4C3D"/>
    <w:rsid w:val="00931193"/>
    <w:rsid w:val="009376CD"/>
    <w:rsid w:val="0096646D"/>
    <w:rsid w:val="00967CA0"/>
    <w:rsid w:val="009868EE"/>
    <w:rsid w:val="009D6F38"/>
    <w:rsid w:val="009E483D"/>
    <w:rsid w:val="00A15FBF"/>
    <w:rsid w:val="00A524D9"/>
    <w:rsid w:val="00A86C78"/>
    <w:rsid w:val="00AA235A"/>
    <w:rsid w:val="00AD250A"/>
    <w:rsid w:val="00AE6CD4"/>
    <w:rsid w:val="00B16FE2"/>
    <w:rsid w:val="00B17178"/>
    <w:rsid w:val="00B21319"/>
    <w:rsid w:val="00B347DF"/>
    <w:rsid w:val="00B473D2"/>
    <w:rsid w:val="00B70C2D"/>
    <w:rsid w:val="00B919A2"/>
    <w:rsid w:val="00BA603C"/>
    <w:rsid w:val="00BB3EF8"/>
    <w:rsid w:val="00BB6AC8"/>
    <w:rsid w:val="00BF0E65"/>
    <w:rsid w:val="00BF73B1"/>
    <w:rsid w:val="00C07403"/>
    <w:rsid w:val="00C13592"/>
    <w:rsid w:val="00C401DC"/>
    <w:rsid w:val="00C513F6"/>
    <w:rsid w:val="00CA08B5"/>
    <w:rsid w:val="00CA6898"/>
    <w:rsid w:val="00D14452"/>
    <w:rsid w:val="00D17BE5"/>
    <w:rsid w:val="00D200D6"/>
    <w:rsid w:val="00D221B7"/>
    <w:rsid w:val="00D34A82"/>
    <w:rsid w:val="00D46B42"/>
    <w:rsid w:val="00D56510"/>
    <w:rsid w:val="00D61693"/>
    <w:rsid w:val="00D80DD3"/>
    <w:rsid w:val="00D85977"/>
    <w:rsid w:val="00DB40DB"/>
    <w:rsid w:val="00DD2EDA"/>
    <w:rsid w:val="00DD3383"/>
    <w:rsid w:val="00DD38CA"/>
    <w:rsid w:val="00E074E0"/>
    <w:rsid w:val="00E106E8"/>
    <w:rsid w:val="00E12BD3"/>
    <w:rsid w:val="00E146B6"/>
    <w:rsid w:val="00E23D67"/>
    <w:rsid w:val="00E36E26"/>
    <w:rsid w:val="00E53008"/>
    <w:rsid w:val="00E54BA6"/>
    <w:rsid w:val="00E93677"/>
    <w:rsid w:val="00ED22BE"/>
    <w:rsid w:val="00EE0C28"/>
    <w:rsid w:val="00F13349"/>
    <w:rsid w:val="00F525F2"/>
    <w:rsid w:val="00F90D7E"/>
    <w:rsid w:val="00F97883"/>
    <w:rsid w:val="00FA76CA"/>
    <w:rsid w:val="00FC0F78"/>
    <w:rsid w:val="00FC4255"/>
    <w:rsid w:val="00FE18B8"/>
    <w:rsid w:val="00FE1D55"/>
    <w:rsid w:val="00FF5409"/>
    <w:rsid w:val="016F45ED"/>
    <w:rsid w:val="137F7572"/>
    <w:rsid w:val="19BC3E9B"/>
    <w:rsid w:val="1ADD4DF0"/>
    <w:rsid w:val="206406E9"/>
    <w:rsid w:val="29895940"/>
    <w:rsid w:val="2ECF42DD"/>
    <w:rsid w:val="2FF709CC"/>
    <w:rsid w:val="3A964AED"/>
    <w:rsid w:val="46C37AAC"/>
    <w:rsid w:val="47394A4E"/>
    <w:rsid w:val="4C353E44"/>
    <w:rsid w:val="4C5E3A7D"/>
    <w:rsid w:val="4C824F2F"/>
    <w:rsid w:val="50036DC1"/>
    <w:rsid w:val="57101D3B"/>
    <w:rsid w:val="69BF0C99"/>
    <w:rsid w:val="74CC228F"/>
    <w:rsid w:val="76955861"/>
    <w:rsid w:val="79B8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3830</Words>
  <Characters>4179</Characters>
  <Lines>30</Lines>
  <Paragraphs>8</Paragraphs>
  <TotalTime>1</TotalTime>
  <ScaleCrop>false</ScaleCrop>
  <LinksUpToDate>false</LinksUpToDate>
  <CharactersWithSpaces>4305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2022-12-22T13:07:00Z</dcterms:created>
  <dc:creator>LT</dc:creator>
  <cp:lastModifiedBy>QSL</cp:lastModifiedBy>
  <dcterms:modified xsi:type="dcterms:W3CDTF">2023-04-06T01:05:37Z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CF9811A777574F2C8328DD1FEE47E58F</vt:lpwstr>
  </property>
</Properties>
</file>