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ordWrap/>
        <w:overflowPunct/>
        <w:topLinePunct w:val="0"/>
        <w:bidi w:val="0"/>
        <w:adjustRightInd w:val="0"/>
        <w:spacing w:after="120" w:afterLines="50" w:line="560" w:lineRule="exact"/>
        <w:jc w:val="both"/>
        <w:textAlignment w:val="baseline"/>
        <w:rPr>
          <w:rFonts w:hint="eastAsia" w:ascii="Times New Roman" w:hAnsi="Times New Roman" w:eastAsia="方正小标宋简体" w:cs="Times New Roman"/>
          <w:b/>
          <w:sz w:val="44"/>
          <w:szCs w:val="44"/>
          <w:lang w:eastAsia="zh-CN"/>
        </w:rPr>
      </w:pPr>
    </w:p>
    <w:p>
      <w:pPr>
        <w:pageBreakBefore w:val="0"/>
        <w:wordWrap/>
        <w:overflowPunct/>
        <w:topLinePunct w:val="0"/>
        <w:bidi w:val="0"/>
        <w:adjustRightInd w:val="0"/>
        <w:spacing w:after="120" w:afterLines="50" w:line="560" w:lineRule="exact"/>
        <w:jc w:val="center"/>
        <w:textAlignment w:val="baseline"/>
        <w:rPr>
          <w:rFonts w:hint="default" w:ascii="Times New Roman" w:hAnsi="Times New Roman" w:eastAsia="方正小标宋简体" w:cs="Times New Roman"/>
          <w:b/>
          <w:sz w:val="44"/>
          <w:szCs w:val="44"/>
        </w:rPr>
      </w:pPr>
    </w:p>
    <w:p>
      <w:pPr>
        <w:pageBreakBefore w:val="0"/>
        <w:wordWrap/>
        <w:overflowPunct/>
        <w:topLinePunct w:val="0"/>
        <w:bidi w:val="0"/>
        <w:adjustRightInd w:val="0"/>
        <w:spacing w:after="120" w:afterLines="50" w:line="560" w:lineRule="exact"/>
        <w:jc w:val="center"/>
        <w:textAlignment w:val="baseline"/>
        <w:rPr>
          <w:rFonts w:hint="default" w:ascii="Times New Roman" w:hAnsi="Times New Roman" w:eastAsia="方正小标宋简体" w:cs="Times New Roman"/>
          <w:b/>
          <w:sz w:val="52"/>
          <w:szCs w:val="52"/>
        </w:rPr>
      </w:pPr>
    </w:p>
    <w:p>
      <w:pPr>
        <w:pageBreakBefore w:val="0"/>
        <w:wordWrap/>
        <w:overflowPunct/>
        <w:topLinePunct w:val="0"/>
        <w:bidi w:val="0"/>
        <w:adjustRightInd w:val="0"/>
        <w:spacing w:after="120" w:afterLines="50" w:line="560" w:lineRule="exact"/>
        <w:jc w:val="center"/>
        <w:textAlignment w:val="baseline"/>
        <w:rPr>
          <w:rFonts w:hint="default" w:ascii="Times New Roman" w:hAnsi="Times New Roman" w:eastAsia="方正小标宋简体" w:cs="Times New Roman"/>
          <w:b/>
          <w:sz w:val="52"/>
          <w:szCs w:val="52"/>
        </w:rPr>
      </w:pPr>
      <w:r>
        <w:rPr>
          <w:rFonts w:hint="default" w:ascii="Times New Roman" w:hAnsi="Times New Roman" w:eastAsia="方正小标宋简体" w:cs="Times New Roman"/>
          <w:b/>
          <w:sz w:val="52"/>
          <w:szCs w:val="52"/>
        </w:rPr>
        <w:t>学位授权点建设年度报告</w:t>
      </w:r>
    </w:p>
    <w:p>
      <w:pPr>
        <w:pageBreakBefore w:val="0"/>
        <w:wordWrap/>
        <w:overflowPunct/>
        <w:topLinePunct w:val="0"/>
        <w:bidi w:val="0"/>
        <w:adjustRightInd w:val="0"/>
        <w:spacing w:after="120" w:afterLines="50" w:line="560" w:lineRule="exact"/>
        <w:jc w:val="center"/>
        <w:textAlignment w:val="baseline"/>
        <w:rPr>
          <w:rFonts w:hint="default" w:ascii="Times New Roman" w:hAnsi="Times New Roman" w:eastAsia="方正小标宋简体" w:cs="Times New Roman"/>
          <w:b/>
          <w:sz w:val="44"/>
          <w:szCs w:val="44"/>
        </w:rPr>
      </w:pPr>
    </w:p>
    <w:p>
      <w:pPr>
        <w:pageBreakBefore w:val="0"/>
        <w:wordWrap/>
        <w:overflowPunct/>
        <w:topLinePunct w:val="0"/>
        <w:bidi w:val="0"/>
        <w:adjustRightInd w:val="0"/>
        <w:spacing w:after="120" w:afterLines="50" w:line="560" w:lineRule="exact"/>
        <w:jc w:val="center"/>
        <w:textAlignment w:val="baseline"/>
        <w:rPr>
          <w:rFonts w:hint="default" w:ascii="Times New Roman" w:hAnsi="Times New Roman" w:eastAsia="方正小标宋简体" w:cs="Times New Roman"/>
          <w:b/>
          <w:sz w:val="44"/>
          <w:szCs w:val="44"/>
        </w:rPr>
      </w:pPr>
    </w:p>
    <w:p>
      <w:pPr>
        <w:pageBreakBefore w:val="0"/>
        <w:wordWrap/>
        <w:overflowPunct/>
        <w:topLinePunct w:val="0"/>
        <w:bidi w:val="0"/>
        <w:adjustRightInd w:val="0"/>
        <w:spacing w:after="120" w:afterLines="50" w:line="560" w:lineRule="exact"/>
        <w:jc w:val="center"/>
        <w:textAlignment w:val="baseline"/>
        <w:rPr>
          <w:rFonts w:hint="default" w:ascii="Times New Roman" w:hAnsi="Times New Roman" w:eastAsia="方正小标宋简体" w:cs="Times New Roman"/>
          <w:b/>
          <w:sz w:val="44"/>
          <w:szCs w:val="44"/>
        </w:rPr>
      </w:pPr>
    </w:p>
    <w:p>
      <w:pPr>
        <w:pageBreakBefore w:val="0"/>
        <w:wordWrap/>
        <w:overflowPunct/>
        <w:topLinePunct w:val="0"/>
        <w:bidi w:val="0"/>
        <w:adjustRightInd w:val="0"/>
        <w:spacing w:after="120" w:afterLines="50" w:line="560" w:lineRule="exact"/>
        <w:jc w:val="center"/>
        <w:textAlignment w:val="baseline"/>
        <w:rPr>
          <w:rFonts w:hint="default" w:ascii="Times New Roman" w:hAnsi="Times New Roman" w:eastAsia="方正小标宋简体" w:cs="Times New Roman"/>
          <w:b/>
          <w:sz w:val="44"/>
          <w:szCs w:val="44"/>
        </w:rPr>
      </w:pPr>
    </w:p>
    <w:tbl>
      <w:tblPr>
        <w:tblStyle w:val="9"/>
        <w:tblW w:w="0" w:type="auto"/>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noWrap w:val="0"/>
            <w:vAlign w:val="center"/>
          </w:tcPr>
          <w:p>
            <w:pPr>
              <w:pageBreakBefore w:val="0"/>
              <w:wordWrap/>
              <w:overflowPunct/>
              <w:topLinePunct w:val="0"/>
              <w:bidi w:val="0"/>
              <w:adjustRightInd w:val="0"/>
              <w:spacing w:line="560" w:lineRule="exact"/>
              <w:jc w:val="distribute"/>
              <w:textAlignment w:val="baseline"/>
              <w:rPr>
                <w:rFonts w:hint="default" w:ascii="Times New Roman" w:hAnsi="Times New Roman" w:eastAsia="楷体_GB2312" w:cs="Times New Roman"/>
                <w:b w:val="0"/>
                <w:bCs/>
                <w:sz w:val="30"/>
                <w:szCs w:val="30"/>
              </w:rPr>
            </w:pPr>
            <w:r>
              <w:rPr>
                <w:rFonts w:hint="default" w:ascii="Times New Roman" w:hAnsi="Times New Roman" w:eastAsia="楷体_GB2312" w:cs="Times New Roman"/>
                <w:b w:val="0"/>
                <w:bCs/>
                <w:sz w:val="30"/>
                <w:szCs w:val="30"/>
              </w:rPr>
              <w:t>学位授予单位</w:t>
            </w:r>
          </w:p>
        </w:tc>
        <w:tc>
          <w:tcPr>
            <w:tcW w:w="2880" w:type="dxa"/>
            <w:tcBorders>
              <w:bottom w:val="single" w:color="auto" w:sz="4" w:space="0"/>
            </w:tcBorders>
            <w:noWrap w:val="0"/>
            <w:vAlign w:val="center"/>
          </w:tcPr>
          <w:p>
            <w:pPr>
              <w:pageBreakBefore w:val="0"/>
              <w:wordWrap/>
              <w:overflowPunct/>
              <w:topLinePunct w:val="0"/>
              <w:bidi w:val="0"/>
              <w:adjustRightInd w:val="0"/>
              <w:spacing w:line="560" w:lineRule="exact"/>
              <w:textAlignment w:val="baseline"/>
              <w:rPr>
                <w:rFonts w:hint="default" w:ascii="Times New Roman" w:hAnsi="Times New Roman" w:eastAsia="楷体_GB2312" w:cs="Times New Roman"/>
                <w:b w:val="0"/>
                <w:bCs/>
                <w:sz w:val="30"/>
                <w:szCs w:val="30"/>
              </w:rPr>
            </w:pPr>
            <w:r>
              <w:rPr>
                <w:rFonts w:hint="default" w:ascii="Times New Roman" w:hAnsi="Times New Roman" w:eastAsia="楷体_GB2312" w:cs="Times New Roman"/>
                <w:b w:val="0"/>
                <w:bCs/>
                <w:sz w:val="30"/>
                <w:szCs w:val="30"/>
              </w:rPr>
              <w:t>名称：</w:t>
            </w:r>
            <w:r>
              <w:rPr>
                <w:rFonts w:hint="default" w:ascii="Times New Roman" w:hAnsi="Times New Roman" w:eastAsia="微软雅黑" w:cs="Times New Roman"/>
                <w:b w:val="0"/>
                <w:bCs/>
                <w:sz w:val="30"/>
                <w:szCs w:val="30"/>
              </w:rPr>
              <w:t>福建农林大学</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noWrap w:val="0"/>
            <w:vAlign w:val="top"/>
          </w:tcPr>
          <w:p>
            <w:pPr>
              <w:pageBreakBefore w:val="0"/>
              <w:wordWrap/>
              <w:overflowPunct/>
              <w:topLinePunct w:val="0"/>
              <w:bidi w:val="0"/>
              <w:adjustRightInd w:val="0"/>
              <w:spacing w:line="560" w:lineRule="exact"/>
              <w:jc w:val="center"/>
              <w:textAlignment w:val="baseline"/>
              <w:rPr>
                <w:rFonts w:hint="default" w:ascii="Times New Roman" w:hAnsi="Times New Roman" w:eastAsia="楷体_GB2312" w:cs="Times New Roman"/>
                <w:b w:val="0"/>
                <w:bCs/>
                <w:sz w:val="30"/>
                <w:szCs w:val="30"/>
              </w:rPr>
            </w:pPr>
          </w:p>
        </w:tc>
        <w:tc>
          <w:tcPr>
            <w:tcW w:w="2880" w:type="dxa"/>
            <w:tcBorders>
              <w:top w:val="single" w:color="auto" w:sz="4" w:space="0"/>
            </w:tcBorders>
            <w:noWrap w:val="0"/>
            <w:vAlign w:val="center"/>
          </w:tcPr>
          <w:p>
            <w:pPr>
              <w:pageBreakBefore w:val="0"/>
              <w:wordWrap/>
              <w:overflowPunct/>
              <w:topLinePunct w:val="0"/>
              <w:bidi w:val="0"/>
              <w:adjustRightInd w:val="0"/>
              <w:spacing w:line="560" w:lineRule="exact"/>
              <w:textAlignment w:val="baseline"/>
              <w:rPr>
                <w:rFonts w:hint="default" w:ascii="Times New Roman" w:hAnsi="Times New Roman" w:eastAsia="楷体_GB2312" w:cs="Times New Roman"/>
                <w:b w:val="0"/>
                <w:bCs/>
                <w:sz w:val="30"/>
                <w:szCs w:val="30"/>
              </w:rPr>
            </w:pPr>
            <w:r>
              <w:rPr>
                <w:rFonts w:hint="default" w:ascii="Times New Roman" w:hAnsi="Times New Roman" w:eastAsia="楷体_GB2312" w:cs="Times New Roman"/>
                <w:b w:val="0"/>
                <w:bCs/>
                <w:sz w:val="30"/>
                <w:szCs w:val="30"/>
              </w:rPr>
              <w:t>代码：10389</w:t>
            </w:r>
          </w:p>
        </w:tc>
      </w:tr>
    </w:tbl>
    <w:p>
      <w:pPr>
        <w:pageBreakBefore w:val="0"/>
        <w:wordWrap/>
        <w:overflowPunct/>
        <w:topLinePunct w:val="0"/>
        <w:bidi w:val="0"/>
        <w:adjustRightInd w:val="0"/>
        <w:spacing w:line="560" w:lineRule="exact"/>
        <w:jc w:val="center"/>
        <w:textAlignment w:val="baseline"/>
        <w:rPr>
          <w:rFonts w:hint="default" w:ascii="Times New Roman" w:hAnsi="Times New Roman" w:eastAsia="楷体_GB2312" w:cs="Times New Roman"/>
          <w:b w:val="0"/>
          <w:bCs/>
          <w:sz w:val="30"/>
          <w:szCs w:val="30"/>
        </w:rPr>
      </w:pPr>
    </w:p>
    <w:tbl>
      <w:tblPr>
        <w:tblStyle w:val="9"/>
        <w:tblW w:w="0" w:type="auto"/>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noWrap w:val="0"/>
            <w:vAlign w:val="center"/>
          </w:tcPr>
          <w:p>
            <w:pPr>
              <w:pageBreakBefore w:val="0"/>
              <w:wordWrap/>
              <w:overflowPunct/>
              <w:topLinePunct w:val="0"/>
              <w:bidi w:val="0"/>
              <w:adjustRightInd w:val="0"/>
              <w:spacing w:line="560" w:lineRule="exact"/>
              <w:jc w:val="distribute"/>
              <w:textAlignment w:val="baseline"/>
              <w:rPr>
                <w:rFonts w:hint="default" w:ascii="Times New Roman" w:hAnsi="Times New Roman" w:eastAsia="楷体_GB2312" w:cs="Times New Roman"/>
                <w:b w:val="0"/>
                <w:bCs/>
                <w:sz w:val="30"/>
                <w:szCs w:val="30"/>
              </w:rPr>
            </w:pPr>
            <w:r>
              <w:rPr>
                <w:rFonts w:hint="default" w:ascii="Times New Roman" w:hAnsi="Times New Roman" w:eastAsia="楷体_GB2312" w:cs="Times New Roman"/>
                <w:b w:val="0"/>
                <w:bCs/>
                <w:sz w:val="30"/>
                <w:szCs w:val="30"/>
              </w:rPr>
              <w:t>授权学科</w:t>
            </w:r>
          </w:p>
          <w:p>
            <w:pPr>
              <w:pageBreakBefore w:val="0"/>
              <w:wordWrap/>
              <w:overflowPunct/>
              <w:topLinePunct w:val="0"/>
              <w:bidi w:val="0"/>
              <w:adjustRightInd w:val="0"/>
              <w:spacing w:line="560" w:lineRule="exact"/>
              <w:jc w:val="distribute"/>
              <w:textAlignment w:val="baseline"/>
              <w:rPr>
                <w:rFonts w:hint="default" w:ascii="Times New Roman" w:hAnsi="Times New Roman" w:eastAsia="楷体_GB2312" w:cs="Times New Roman"/>
                <w:b w:val="0"/>
                <w:bCs/>
                <w:sz w:val="30"/>
                <w:szCs w:val="30"/>
              </w:rPr>
            </w:pPr>
            <w:r>
              <w:rPr>
                <w:rFonts w:hint="default" w:ascii="Times New Roman" w:hAnsi="Times New Roman" w:eastAsia="楷体_GB2312" w:cs="Times New Roman"/>
                <w:b w:val="0"/>
                <w:bCs/>
                <w:sz w:val="30"/>
                <w:szCs w:val="30"/>
              </w:rPr>
              <w:t>（类别）</w:t>
            </w:r>
          </w:p>
        </w:tc>
        <w:tc>
          <w:tcPr>
            <w:tcW w:w="2880" w:type="dxa"/>
            <w:tcBorders>
              <w:bottom w:val="single" w:color="auto" w:sz="4" w:space="0"/>
            </w:tcBorders>
            <w:noWrap w:val="0"/>
            <w:vAlign w:val="center"/>
          </w:tcPr>
          <w:p>
            <w:pPr>
              <w:pageBreakBefore w:val="0"/>
              <w:wordWrap/>
              <w:overflowPunct/>
              <w:topLinePunct w:val="0"/>
              <w:bidi w:val="0"/>
              <w:adjustRightInd w:val="0"/>
              <w:spacing w:line="560" w:lineRule="exact"/>
              <w:textAlignment w:val="baseline"/>
              <w:rPr>
                <w:rFonts w:hint="default" w:ascii="Times New Roman" w:hAnsi="Times New Roman" w:eastAsia="楷体_GB2312" w:cs="Times New Roman"/>
                <w:b w:val="0"/>
                <w:bCs/>
                <w:sz w:val="30"/>
                <w:szCs w:val="30"/>
              </w:rPr>
            </w:pPr>
            <w:r>
              <w:rPr>
                <w:rFonts w:hint="default" w:ascii="Times New Roman" w:hAnsi="Times New Roman" w:eastAsia="楷体_GB2312" w:cs="Times New Roman"/>
                <w:b w:val="0"/>
                <w:bCs/>
                <w:sz w:val="30"/>
                <w:szCs w:val="30"/>
              </w:rPr>
              <w:t>名称：</w:t>
            </w:r>
            <w:r>
              <w:rPr>
                <w:rFonts w:hint="default" w:ascii="Times New Roman" w:hAnsi="Times New Roman" w:eastAsia="微软雅黑" w:cs="Times New Roman"/>
                <w:b w:val="0"/>
                <w:bCs/>
                <w:sz w:val="30"/>
                <w:szCs w:val="30"/>
              </w:rPr>
              <w:t>兽医学</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noWrap w:val="0"/>
            <w:vAlign w:val="top"/>
          </w:tcPr>
          <w:p>
            <w:pPr>
              <w:pageBreakBefore w:val="0"/>
              <w:wordWrap/>
              <w:overflowPunct/>
              <w:topLinePunct w:val="0"/>
              <w:bidi w:val="0"/>
              <w:adjustRightInd w:val="0"/>
              <w:spacing w:line="560" w:lineRule="exact"/>
              <w:jc w:val="center"/>
              <w:textAlignment w:val="baseline"/>
              <w:rPr>
                <w:rFonts w:hint="default" w:ascii="Times New Roman" w:hAnsi="Times New Roman" w:eastAsia="楷体_GB2312" w:cs="Times New Roman"/>
                <w:b w:val="0"/>
                <w:bCs/>
                <w:sz w:val="30"/>
                <w:szCs w:val="30"/>
              </w:rPr>
            </w:pPr>
          </w:p>
        </w:tc>
        <w:tc>
          <w:tcPr>
            <w:tcW w:w="2880" w:type="dxa"/>
            <w:tcBorders>
              <w:top w:val="single" w:color="auto" w:sz="4" w:space="0"/>
            </w:tcBorders>
            <w:noWrap w:val="0"/>
            <w:vAlign w:val="center"/>
          </w:tcPr>
          <w:p>
            <w:pPr>
              <w:pageBreakBefore w:val="0"/>
              <w:wordWrap/>
              <w:overflowPunct/>
              <w:topLinePunct w:val="0"/>
              <w:bidi w:val="0"/>
              <w:adjustRightInd w:val="0"/>
              <w:spacing w:line="560" w:lineRule="exact"/>
              <w:textAlignment w:val="baseline"/>
              <w:rPr>
                <w:rFonts w:hint="default" w:ascii="Times New Roman" w:hAnsi="Times New Roman" w:eastAsia="楷体_GB2312" w:cs="Times New Roman"/>
                <w:b w:val="0"/>
                <w:bCs/>
                <w:sz w:val="30"/>
                <w:szCs w:val="30"/>
              </w:rPr>
            </w:pPr>
            <w:r>
              <w:rPr>
                <w:rFonts w:hint="default" w:ascii="Times New Roman" w:hAnsi="Times New Roman" w:eastAsia="楷体_GB2312" w:cs="Times New Roman"/>
                <w:b w:val="0"/>
                <w:bCs/>
                <w:sz w:val="30"/>
                <w:szCs w:val="30"/>
              </w:rPr>
              <w:t>代码：0906</w:t>
            </w:r>
          </w:p>
        </w:tc>
      </w:tr>
    </w:tbl>
    <w:p>
      <w:pPr>
        <w:pageBreakBefore w:val="0"/>
        <w:wordWrap/>
        <w:overflowPunct/>
        <w:topLinePunct w:val="0"/>
        <w:bidi w:val="0"/>
        <w:adjustRightInd w:val="0"/>
        <w:spacing w:line="560" w:lineRule="exact"/>
        <w:jc w:val="center"/>
        <w:textAlignment w:val="baseline"/>
        <w:rPr>
          <w:rFonts w:hint="default" w:ascii="Times New Roman" w:hAnsi="Times New Roman" w:eastAsia="楷体_GB2312" w:cs="Times New Roman"/>
          <w:b w:val="0"/>
          <w:bCs/>
          <w:sz w:val="30"/>
          <w:szCs w:val="30"/>
        </w:rPr>
      </w:pPr>
    </w:p>
    <w:tbl>
      <w:tblPr>
        <w:tblStyle w:val="9"/>
        <w:tblW w:w="0" w:type="auto"/>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noWrap w:val="0"/>
            <w:vAlign w:val="center"/>
          </w:tcPr>
          <w:p>
            <w:pPr>
              <w:pageBreakBefore w:val="0"/>
              <w:wordWrap/>
              <w:overflowPunct/>
              <w:topLinePunct w:val="0"/>
              <w:bidi w:val="0"/>
              <w:adjustRightInd w:val="0"/>
              <w:spacing w:line="560" w:lineRule="exact"/>
              <w:jc w:val="distribute"/>
              <w:textAlignment w:val="baseline"/>
              <w:rPr>
                <w:rFonts w:hint="default" w:ascii="Times New Roman" w:hAnsi="Times New Roman" w:eastAsia="楷体_GB2312" w:cs="Times New Roman"/>
                <w:b w:val="0"/>
                <w:bCs/>
                <w:sz w:val="30"/>
                <w:szCs w:val="30"/>
              </w:rPr>
            </w:pPr>
            <w:r>
              <w:rPr>
                <w:rFonts w:hint="default" w:ascii="Times New Roman" w:hAnsi="Times New Roman" w:eastAsia="楷体_GB2312" w:cs="Times New Roman"/>
                <w:b w:val="0"/>
                <w:bCs/>
                <w:sz w:val="30"/>
                <w:szCs w:val="30"/>
              </w:rPr>
              <w:t>授权级别</w:t>
            </w:r>
          </w:p>
        </w:tc>
        <w:tc>
          <w:tcPr>
            <w:tcW w:w="2880" w:type="dxa"/>
            <w:tcBorders>
              <w:bottom w:val="single" w:color="auto" w:sz="4" w:space="0"/>
            </w:tcBorders>
            <w:noWrap w:val="0"/>
            <w:vAlign w:val="center"/>
          </w:tcPr>
          <w:p>
            <w:pPr>
              <w:pageBreakBefore w:val="0"/>
              <w:wordWrap/>
              <w:overflowPunct/>
              <w:topLinePunct w:val="0"/>
              <w:bidi w:val="0"/>
              <w:adjustRightInd w:val="0"/>
              <w:spacing w:line="560" w:lineRule="exact"/>
              <w:textAlignment w:val="baseline"/>
              <w:rPr>
                <w:rFonts w:hint="default" w:ascii="Times New Roman" w:hAnsi="Times New Roman" w:eastAsia="楷体_GB2312" w:cs="Times New Roman"/>
                <w:b w:val="0"/>
                <w:bCs/>
                <w:sz w:val="30"/>
                <w:szCs w:val="30"/>
              </w:rPr>
            </w:pPr>
            <w:r>
              <w:rPr>
                <w:rFonts w:hint="default" w:ascii="Times New Roman" w:hAnsi="Times New Roman" w:eastAsia="楷体_GB2312" w:cs="Times New Roman"/>
                <w:b w:val="0"/>
                <w:bCs/>
                <w:sz w:val="30"/>
                <w:szCs w:val="30"/>
              </w:rPr>
              <w:t>□  博  士</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noWrap w:val="0"/>
            <w:vAlign w:val="top"/>
          </w:tcPr>
          <w:p>
            <w:pPr>
              <w:pageBreakBefore w:val="0"/>
              <w:wordWrap/>
              <w:overflowPunct/>
              <w:topLinePunct w:val="0"/>
              <w:bidi w:val="0"/>
              <w:adjustRightInd w:val="0"/>
              <w:spacing w:line="560" w:lineRule="exact"/>
              <w:jc w:val="center"/>
              <w:textAlignment w:val="baseline"/>
              <w:rPr>
                <w:rFonts w:hint="default" w:ascii="Times New Roman" w:hAnsi="Times New Roman" w:eastAsia="楷体_GB2312" w:cs="Times New Roman"/>
                <w:b w:val="0"/>
                <w:bCs/>
                <w:sz w:val="30"/>
                <w:szCs w:val="30"/>
              </w:rPr>
            </w:pPr>
          </w:p>
        </w:tc>
        <w:tc>
          <w:tcPr>
            <w:tcW w:w="2880" w:type="dxa"/>
            <w:tcBorders>
              <w:top w:val="single" w:color="auto" w:sz="4" w:space="0"/>
            </w:tcBorders>
            <w:noWrap w:val="0"/>
            <w:vAlign w:val="center"/>
          </w:tcPr>
          <w:p>
            <w:pPr>
              <w:pageBreakBefore w:val="0"/>
              <w:wordWrap/>
              <w:overflowPunct/>
              <w:topLinePunct w:val="0"/>
              <w:bidi w:val="0"/>
              <w:adjustRightInd w:val="0"/>
              <w:spacing w:line="560" w:lineRule="exact"/>
              <w:textAlignment w:val="baseline"/>
              <w:rPr>
                <w:rFonts w:hint="default" w:ascii="Times New Roman" w:hAnsi="Times New Roman" w:eastAsia="楷体_GB2312" w:cs="Times New Roman"/>
                <w:b w:val="0"/>
                <w:bCs/>
                <w:sz w:val="30"/>
                <w:szCs w:val="30"/>
              </w:rPr>
            </w:pPr>
            <w:r>
              <w:rPr>
                <w:rFonts w:hint="default" w:ascii="Times New Roman" w:hAnsi="Times New Roman" w:eastAsia="楷体_GB2312" w:cs="Times New Roman"/>
                <w:b w:val="0"/>
                <w:bCs/>
                <w:sz w:val="30"/>
                <w:szCs w:val="30"/>
              </w:rPr>
              <w:sym w:font="Wingdings" w:char="F0FE"/>
            </w:r>
            <w:r>
              <w:rPr>
                <w:rFonts w:hint="default" w:ascii="Times New Roman" w:hAnsi="Times New Roman" w:eastAsia="楷体_GB2312" w:cs="Times New Roman"/>
                <w:b w:val="0"/>
                <w:bCs/>
                <w:sz w:val="30"/>
                <w:szCs w:val="30"/>
              </w:rPr>
              <w:t xml:space="preserve">  硕  士</w:t>
            </w:r>
          </w:p>
        </w:tc>
      </w:tr>
    </w:tbl>
    <w:p>
      <w:pPr>
        <w:pageBreakBefore w:val="0"/>
        <w:wordWrap/>
        <w:overflowPunct/>
        <w:topLinePunct w:val="0"/>
        <w:bidi w:val="0"/>
        <w:adjustRightInd w:val="0"/>
        <w:spacing w:line="560" w:lineRule="exact"/>
        <w:jc w:val="center"/>
        <w:textAlignment w:val="baseline"/>
        <w:rPr>
          <w:rFonts w:hint="default" w:ascii="Times New Roman" w:hAnsi="Times New Roman" w:eastAsia="楷体_GB2312" w:cs="Times New Roman"/>
          <w:b/>
          <w:sz w:val="30"/>
          <w:szCs w:val="30"/>
        </w:rPr>
      </w:pPr>
    </w:p>
    <w:p>
      <w:pPr>
        <w:pageBreakBefore w:val="0"/>
        <w:wordWrap/>
        <w:overflowPunct/>
        <w:topLinePunct w:val="0"/>
        <w:bidi w:val="0"/>
        <w:adjustRightInd w:val="0"/>
        <w:spacing w:line="560" w:lineRule="exact"/>
        <w:jc w:val="center"/>
        <w:textAlignment w:val="baseline"/>
        <w:rPr>
          <w:rFonts w:hint="default" w:ascii="Times New Roman" w:hAnsi="Times New Roman" w:eastAsia="楷体_GB2312" w:cs="Times New Roman"/>
          <w:b/>
          <w:sz w:val="30"/>
          <w:szCs w:val="30"/>
        </w:rPr>
      </w:pPr>
    </w:p>
    <w:p>
      <w:pPr>
        <w:pStyle w:val="2"/>
        <w:pageBreakBefore w:val="0"/>
        <w:wordWrap/>
        <w:overflowPunct/>
        <w:topLinePunct w:val="0"/>
        <w:bidi w:val="0"/>
        <w:adjustRightInd w:val="0"/>
        <w:spacing w:line="560" w:lineRule="exact"/>
        <w:textAlignment w:val="baseline"/>
        <w:rPr>
          <w:rFonts w:hint="default" w:ascii="Times New Roman" w:hAnsi="Times New Roman" w:cs="Times New Roman"/>
        </w:rPr>
      </w:pPr>
    </w:p>
    <w:p>
      <w:pPr>
        <w:pageBreakBefore w:val="0"/>
        <w:wordWrap/>
        <w:overflowPunct/>
        <w:topLinePunct w:val="0"/>
        <w:bidi w:val="0"/>
        <w:adjustRightInd w:val="0"/>
        <w:spacing w:line="560" w:lineRule="exact"/>
        <w:jc w:val="center"/>
        <w:textAlignment w:val="baseline"/>
        <w:rPr>
          <w:rFonts w:hint="default" w:ascii="Times New Roman" w:hAnsi="Times New Roman" w:eastAsia="楷体_GB2312" w:cs="Times New Roman"/>
          <w:b/>
          <w:sz w:val="30"/>
          <w:szCs w:val="30"/>
        </w:rPr>
      </w:pPr>
    </w:p>
    <w:p>
      <w:pPr>
        <w:pageBreakBefore w:val="0"/>
        <w:wordWrap/>
        <w:overflowPunct/>
        <w:topLinePunct w:val="0"/>
        <w:bidi w:val="0"/>
        <w:adjustRightInd w:val="0"/>
        <w:spacing w:line="560" w:lineRule="exact"/>
        <w:jc w:val="center"/>
        <w:textAlignment w:val="baseline"/>
        <w:rPr>
          <w:rFonts w:hint="default" w:ascii="Times New Roman" w:hAnsi="Times New Roman" w:eastAsia="楷体_GB2312" w:cs="Times New Roman"/>
          <w:b w:val="0"/>
          <w:bCs/>
          <w:sz w:val="32"/>
          <w:szCs w:val="32"/>
        </w:rPr>
      </w:pPr>
      <w:bookmarkStart w:id="0" w:name="_GoBack"/>
      <w:r>
        <w:rPr>
          <w:rFonts w:hint="default" w:ascii="Times New Roman" w:hAnsi="Times New Roman" w:eastAsia="楷体_GB2312" w:cs="Times New Roman"/>
          <w:b w:val="0"/>
          <w:bCs/>
          <w:sz w:val="30"/>
          <w:szCs w:val="30"/>
        </w:rPr>
        <w:t>20</w:t>
      </w:r>
      <w:r>
        <w:rPr>
          <w:rFonts w:hint="default" w:ascii="Times New Roman" w:hAnsi="Times New Roman" w:eastAsia="楷体_GB2312" w:cs="Times New Roman"/>
          <w:b w:val="0"/>
          <w:bCs/>
          <w:sz w:val="30"/>
          <w:szCs w:val="30"/>
          <w:lang w:val="en-US" w:eastAsia="zh-CN"/>
        </w:rPr>
        <w:t>22</w:t>
      </w:r>
      <w:r>
        <w:rPr>
          <w:rFonts w:hint="default" w:ascii="Times New Roman" w:hAnsi="Times New Roman" w:eastAsia="微软雅黑" w:cs="Times New Roman"/>
          <w:b w:val="0"/>
          <w:bCs/>
          <w:sz w:val="30"/>
          <w:szCs w:val="30"/>
        </w:rPr>
        <w:t>年</w:t>
      </w:r>
      <w:r>
        <w:rPr>
          <w:rFonts w:hint="default" w:ascii="Times New Roman" w:hAnsi="Times New Roman" w:eastAsia="楷体_GB2312" w:cs="Times New Roman"/>
          <w:b w:val="0"/>
          <w:bCs/>
          <w:sz w:val="30"/>
          <w:szCs w:val="30"/>
        </w:rPr>
        <w:t>1</w:t>
      </w:r>
      <w:r>
        <w:rPr>
          <w:rFonts w:hint="default" w:ascii="Times New Roman" w:hAnsi="Times New Roman" w:eastAsia="楷体_GB2312" w:cs="Times New Roman"/>
          <w:b w:val="0"/>
          <w:bCs/>
          <w:sz w:val="30"/>
          <w:szCs w:val="30"/>
          <w:lang w:val="en-US" w:eastAsia="zh-CN"/>
        </w:rPr>
        <w:t>2</w:t>
      </w:r>
      <w:r>
        <w:rPr>
          <w:rFonts w:hint="default" w:ascii="Times New Roman" w:hAnsi="Times New Roman" w:eastAsia="微软雅黑" w:cs="Times New Roman"/>
          <w:b w:val="0"/>
          <w:bCs/>
          <w:sz w:val="30"/>
          <w:szCs w:val="30"/>
        </w:rPr>
        <w:t>月</w:t>
      </w:r>
      <w:r>
        <w:rPr>
          <w:rFonts w:hint="eastAsia" w:eastAsia="楷体_GB2312" w:cs="Times New Roman"/>
          <w:b w:val="0"/>
          <w:bCs/>
          <w:sz w:val="30"/>
          <w:szCs w:val="30"/>
          <w:lang w:val="en-US" w:eastAsia="zh-CN"/>
        </w:rPr>
        <w:t>30</w:t>
      </w:r>
      <w:r>
        <w:rPr>
          <w:rFonts w:hint="default" w:ascii="Times New Roman" w:hAnsi="Times New Roman" w:eastAsia="微软雅黑" w:cs="Times New Roman"/>
          <w:b w:val="0"/>
          <w:bCs/>
          <w:sz w:val="30"/>
          <w:szCs w:val="30"/>
        </w:rPr>
        <w:t>日</w:t>
      </w:r>
    </w:p>
    <w:bookmarkEnd w:id="0"/>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default" w:ascii="Times New Roman" w:hAnsi="Times New Roman" w:eastAsia="仿宋_GB2312" w:cs="Times New Roman"/>
          <w:bCs/>
          <w:sz w:val="32"/>
          <w:szCs w:val="32"/>
        </w:rPr>
      </w:pPr>
    </w:p>
    <w:p>
      <w:pPr>
        <w:pageBreakBefore w:val="0"/>
        <w:wordWrap/>
        <w:overflowPunct/>
        <w:topLinePunct w:val="0"/>
        <w:bidi w:val="0"/>
        <w:adjustRightInd w:val="0"/>
        <w:snapToGrid w:val="0"/>
        <w:spacing w:line="560" w:lineRule="exact"/>
        <w:jc w:val="center"/>
        <w:textAlignment w:val="baseline"/>
        <w:rPr>
          <w:rFonts w:hint="default" w:ascii="Times New Roman" w:hAnsi="Times New Roman" w:eastAsia="黑体" w:cs="Times New Roman"/>
          <w:b w:val="0"/>
          <w:bCs/>
          <w:snapToGrid w:val="0"/>
          <w:color w:val="auto"/>
          <w:sz w:val="32"/>
          <w:szCs w:val="32"/>
        </w:rPr>
      </w:pPr>
      <w:r>
        <w:rPr>
          <w:rFonts w:hint="default" w:ascii="Times New Roman" w:hAnsi="Times New Roman" w:eastAsia="方正小标宋_GBK" w:cs="Times New Roman"/>
          <w:b/>
          <w:color w:val="000000"/>
          <w:sz w:val="44"/>
          <w:szCs w:val="44"/>
        </w:rPr>
        <w:t>2022年</w:t>
      </w:r>
      <w:r>
        <w:rPr>
          <w:rFonts w:hint="default" w:ascii="Times New Roman" w:hAnsi="Times New Roman" w:eastAsia="方正小标宋_GBK" w:cs="Times New Roman"/>
          <w:b/>
          <w:color w:val="000000"/>
          <w:sz w:val="44"/>
          <w:szCs w:val="44"/>
          <w:lang w:eastAsia="zh-CN"/>
        </w:rPr>
        <w:t>兽医学</w:t>
      </w:r>
      <w:r>
        <w:rPr>
          <w:rFonts w:hint="default" w:ascii="Times New Roman" w:hAnsi="Times New Roman" w:eastAsia="方正小标宋_GBK" w:cs="Times New Roman"/>
          <w:b/>
          <w:color w:val="000000"/>
          <w:sz w:val="44"/>
          <w:szCs w:val="44"/>
        </w:rPr>
        <w:t>学位授权点建设年度报告</w:t>
      </w:r>
    </w:p>
    <w:p>
      <w:pPr>
        <w:pStyle w:val="3"/>
        <w:keepNext/>
        <w:keepLines/>
        <w:pageBreakBefore w:val="0"/>
        <w:widowControl/>
        <w:kinsoku w:val="0"/>
        <w:wordWrap/>
        <w:overflowPunct/>
        <w:topLinePunct w:val="0"/>
        <w:autoSpaceDE w:val="0"/>
        <w:autoSpaceDN w:val="0"/>
        <w:bidi w:val="0"/>
        <w:adjustRightInd w:val="0"/>
        <w:snapToGrid w:val="0"/>
        <w:spacing w:before="286" w:beforeLines="100" w:line="560" w:lineRule="exact"/>
        <w:ind w:left="0" w:leftChars="0" w:firstLine="0" w:firstLineChars="0"/>
        <w:jc w:val="left"/>
        <w:textAlignment w:val="baseline"/>
        <w:rPr>
          <w:rFonts w:hint="default" w:ascii="Times New Roman" w:hAnsi="Times New Roman" w:eastAsia="黑体" w:cs="Times New Roman"/>
          <w:b w:val="0"/>
          <w:bCs/>
          <w:snapToGrid w:val="0"/>
          <w:color w:val="auto"/>
          <w:sz w:val="32"/>
          <w:szCs w:val="32"/>
        </w:rPr>
      </w:pPr>
      <w:r>
        <w:rPr>
          <w:rFonts w:hint="default" w:ascii="Times New Roman" w:hAnsi="Times New Roman" w:eastAsia="黑体" w:cs="Times New Roman"/>
          <w:b w:val="0"/>
          <w:bCs/>
          <w:snapToGrid w:val="0"/>
          <w:color w:val="auto"/>
          <w:sz w:val="32"/>
          <w:szCs w:val="32"/>
        </w:rPr>
        <w:t>一、学位授权点基本情况</w:t>
      </w:r>
    </w:p>
    <w:p>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firstLine="640" w:firstLineChars="200"/>
        <w:textAlignment w:val="baseline"/>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目标与标准</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1.培养目标</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贯彻党和国家教育方针，面向现代化、面向世界、面向未来，培养德、智、体、美、劳全面发展的社会主义现代化建设者和可靠接班人，具有创新精神和实践能力的高级专门人才。</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（1）坚持党的基本路线，热爱祖国，遵纪守法，具有良好的科研道德和敬业精神。品行端正，诚实守信，身心健康。</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（2）适应科技进步和社会发展的需要，在本门学科上掌握坚实的基础理论和系统的专门知识，有较强的自学能力和较宽的知识面，具有较强的创新能力、实践能力和创业精神。</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（3）熟练掌握一门外国语，具有较熟练的阅读能力，一定的写、译能力和基本的听、说能力，能适应本专业学习、研究和学术交流的需要。</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2.学位标准</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2.1获本学科硕士学位应掌握的基本知识</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掌握本学科的基础理论和系统深入的专门知识，能综合运用兽医学的基本研究手段，以及分子生物学技术和生物信息学等技术手段，揭示动物正常与病理条件下机体结构的变化规律。</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具有从事本专业工作的基本能力，包括防控动物重大疫病和保障公共卫生、兽医临床诊疗、兽用药物及兽用生物制品的研发等。</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2.2获本学科硕士学位应具备的基本素质</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（1）学术素养</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硕士生是为科学与社会发展而培养的专门人才。应系统掌握相关学科基础知识，具备严谨的科学精神、独立思考和动手能力，并具备运用专业知识解决理论探索或应用研究领域中科学问题的基本能力，并了解本学科相关的知识产权、研究伦理等方面的知识。</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（2）学术道德</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科学研究是人类赖以生存与发展的崇高群体性事业。因此要求硕士生具有严谨求实的科学态度和追求真理的高尚品德，严格遵守学术规范。在研究工作中保证实验数据真实，立论依据充分，推论逻辑严密，尊重他人的研究成果、知识产权、生命伦理等。</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科学论文或学术会议上发布的结果应该是所做研究工作的真实反映，硕士生应对他人的成果能够进行正确辨识，并在自己的研究论文或报告中加以明确和规范的标示。杜绝任何剽窃他人成果、捏造歪曲数据、有意提供误导性推论等不当学术行为。</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2.3获本学科硕士学位应具备的基本学术能力</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（1）获取知识的能力</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要具备从课堂、书本、网络、实验室、兽医实践场所获取相关研究所需要的知识、思路和方法。应了解本学科的学术研究前沿动态和生产实践需求，选题避免盲目性。</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（2）科学研究能力</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要较熟练掌握本学科相关的实验技术，了解相关领域国内、外研究进展，能评价已有成果的科学价值，并能将相关研究成果用于兽医实践。掌握扎实的现代动物临床诊疗、动物疫病防控技术。具有解决实际问题的能力，并能通过清晰的语言表达和逻辑严谨的归纳，总结问题的解决过程。</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（3）实践能力</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要具备从事动物疫病防控的能力、独立从事动物的临床诊疗工作，或者具备从事本学科及相关学科的教学、科研和技术开发能力。</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（4）学术交流能力</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应具备良好的学术表达和交流能力，善于表达学术思想、阐述研究思路和技术手段、展示学术成果。同时要求在本学科领域内具备一定的英语交流能力。</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（5）其他能力</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硕士生应该具有团队精神和与他人合作的能力。科学研究不仅需要个人的贡献，更需要集体的努力。因此需要硕士生发展与同事平等相待，相互交流，合作共事的能力。</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（6）完成福建农林大学兽医学硕士研究生培养方案要求。</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2.4学位论文基本要求</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（1）规范性要求</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论文选题要全面、认真地考量，切入点要准确，理论前提成立且可靠。</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论文必须以本学科和相邻学科的相关学术理论作为论证自己观点的理论支撑，且在文中体现出运用了自己所选择的学术理论。</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论文的核心学术概念要明确、严谨、有效，原则上只能来自学科内公认的学术论著对概念的阐释。</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引文和注释要符合规定的写作要求，引证全面，不断章取义和歪曲引用。</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（2）质量要求</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论文的论证部分能够成为论文的主体。只叙述问题或情况，提不出问题，没有核心观点，没有论证成分的文章，不能视为合格的论文。</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论文的基本理论依据或前提可靠.，符合技术标准。</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获兽医学科硕士学位论文需有一定的工作量（时间保证）、并且与兽医学科相关。学位论文实施“学位论文学术不端行为”检测，以打击、杜绝在学位论文撰写中弄虚作假、抄袭剽窃他人成果的不端行为。</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兽医学授予学位的标准包括学位论文质量和学位授予学术成果要求两大部分。</w:t>
      </w:r>
    </w:p>
    <w:p>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left="0" w:leftChars="0"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rPr>
        <w:t>基本条件</w:t>
      </w:r>
      <w:r>
        <w:rPr>
          <w:rFonts w:hint="default" w:ascii="Times New Roman" w:hAnsi="Times New Roman" w:eastAsia="仿宋" w:cs="Times New Roman"/>
          <w:sz w:val="32"/>
          <w:szCs w:val="32"/>
        </w:rPr>
        <w:t>：</w:t>
      </w:r>
      <w:r>
        <w:rPr>
          <w:rFonts w:hint="default" w:ascii="Times New Roman" w:hAnsi="Times New Roman" w:eastAsia="仿宋_GB2312" w:cs="Times New Roman"/>
          <w:sz w:val="32"/>
          <w:szCs w:val="32"/>
          <w:lang w:val="en-US" w:eastAsia="zh-CN"/>
        </w:rPr>
        <w:t>培养方向、师资队伍、科学研究、教学科研支撑、管理服务</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1.培养方向</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1.1预防兽医学（01动物微生物与分子生物学研究；02动物寄生虫病研究；03动物传染病的诊断与防治研究）</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1.2临床兽医学（01动物疾病与保健；02中西兽医结合）</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1.3基础兽医学（01中西兽药药理学与新制剂；02动物组织胚胎学及病理学；03动物生物化学与生理学）</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2.师资队伍</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专业专任教师共44人，其中硕士生导师30人，占比68.2%。本专业正高级职称10人，占比22.7%，副高级职称12人，占比27.3%，中级职称22人，占比50%。45岁（含）以下人数32人，占比72.7%，获得博士学位的有38人，占比86.4%。</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专业学科带头人陈吉龙教授，动物科学学院（蜂学学院）院长，博导，福建省兽医学重点学科带头人，入选中科院百人计划、福建省百人计划，国家973计划项目首席科学家。从事动物病原微生物与免疫学领域的研究，在流感病毒、呼肠孤病毒等病原致病机理研究中做出重要成绩。先后主持国家自然科学基金重点项目、国家973计划等21个项目。以通讯作者或第一作者在Cell Host Microbe、PLoS Pathog、Protein &amp; Cell等国内外权威期刊上发表论文70余篇。获福建省自然科学奖二等奖（排名第1）等多个奖励；获授权专利7项。</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3. 科学研究</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本专业学位授权点2022年主持国家自然科学基金重点项目、国家重点研发计划课题及省部级科研项目以及横向课题60项，其中国家级项目14项，省部级项目33项，横向课题13项。</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本专业学位授权点专任教师和研究生在国内外重要学术刊物上发表论文54篇，包括在mBio、Journal of Virology、Molecular Cancer、Frontiers in Immunology、International Journal of Biological Macromolecules等国际核心学术刊物上发表了高水平研究论文。 </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为使研究生及时了解本专业的国际前沿信息和国内发展趋势，促进我院科研水平的提高，我院积极开展校内外学术交流活动，邀请吉林大学动物医学学院院长刘明远教授、西北农林科技大学动物医学院靳亚平教授、农业农村部国家水禽遗传改良计划专家组成员江宵兵研究员为我院师生作线上报告；举办研究生科技周活动，邀请福建师范大学陈骐教授、福建丰泽农牧饲料有限公司总经理陈家钊、福建光华集团高级畜牧师刘亚轩等作报告，分享学科、行业前沿的信息。举办福建省畜牧兽医学会成立70周年庆典暨2022年学术年会和2022年闽台畜牧兽医学术研讨会。另外，我院陈吉龙教授、郭桂杰教授、吴异健教授、刘莎莎副教授也应邀在中国畜牧兽医学会生物技术学分会暨中国免疫学会兽医免疫分会第十五次学术研讨会、中国微生物学会兽医微生物学专业委员会2022年学术论坛、第七届全国人兽共患病学术研讨会等全国会议上作大会报告，受到行业内专家的一致好评。 </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4.教学科研支撑</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动物医学专业是国家级特色专业建设点、国家级和省级一流专业建设点。临床兽医学教学团队是福建省级教学团队。学科拥有国家级一流课程2门、省级一流课程6门、省级精品课程3门。学科拥有“国家级动物科学实验教学示范中心”、“福建省兽医中药与动物保健重点实验室”、“中西兽医结合与动物保健福建省高等学校重点实验室”、“闽台动物病原生物学福建省高等学校重点实验室”、“福建省动物药物工程实验室”、“福建省-尼泊尔畜禽重大疫病防控联合实验室”、“福建省畜禽病原感染与免疫学重点实验室”等7个重要科研创新平台。</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学科拥有研究生教室多间，总面积大于1000m</w:t>
      </w:r>
      <w:r>
        <w:rPr>
          <w:rFonts w:hint="default" w:ascii="Times New Roman" w:hAnsi="Times New Roman" w:eastAsia="仿宋_GB2312" w:cs="Times New Roman"/>
          <w:sz w:val="32"/>
          <w:szCs w:val="32"/>
          <w:vertAlign w:val="superscript"/>
          <w:lang w:val="en-US" w:eastAsia="zh-CN"/>
        </w:rPr>
        <w:t>2</w:t>
      </w:r>
      <w:r>
        <w:rPr>
          <w:rFonts w:hint="default" w:ascii="Times New Roman" w:hAnsi="Times New Roman" w:eastAsia="仿宋_GB2312" w:cs="Times New Roman"/>
          <w:sz w:val="32"/>
          <w:szCs w:val="32"/>
          <w:lang w:val="en-US" w:eastAsia="zh-CN"/>
        </w:rPr>
        <w:t>。用于研究生培养的实验仪器原值突破1400多万元，10万元以上大型仪器50多件。此外，学校的大型仪器均可共享使用。</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5.管理服务</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由学院党委副书记统筹、指导工作，团委副书记负责指导团学工作，专职辅导员负责学生思想政治教育、日常管理等具体工作，本科每个班级配备班主任，保障队伍人员充足、结构合理。明确工作要求与职责、发展与培养、管理与考核等规定，着力提升队伍综合素质。学院为专业学位研究生的培养配备了副院长1名，教务人员1名，专职辅导员1名，提供生活、学习、创业、就业等全方位支持。</w:t>
      </w:r>
    </w:p>
    <w:p>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left="0" w:leftChars="0"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rPr>
        <w:t>人才培养</w:t>
      </w:r>
      <w:r>
        <w:rPr>
          <w:rFonts w:hint="default" w:ascii="Times New Roman" w:hAnsi="Times New Roman" w:eastAsia="仿宋" w:cs="Times New Roman"/>
          <w:bCs/>
          <w:sz w:val="32"/>
          <w:szCs w:val="32"/>
        </w:rPr>
        <w:t>：</w:t>
      </w:r>
      <w:r>
        <w:rPr>
          <w:rFonts w:hint="default" w:ascii="Times New Roman" w:hAnsi="Times New Roman" w:eastAsia="仿宋_GB2312" w:cs="Times New Roman"/>
          <w:sz w:val="32"/>
          <w:szCs w:val="32"/>
          <w:lang w:val="en-US" w:eastAsia="zh-CN"/>
        </w:rPr>
        <w:t>思想政治教育、师德师风建设、招生选拔、课程教学、导师管理、学术训练或实习实践</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1.思想政治教育</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始终以习近平新时代中国特色社会主义思想武装头脑、指导工作、推动实践，坚持社会主义办学方向，全面贯彻党的教育方针，持之以恒落实立德树人根本任务，奋勇担当强农兴农的时代使命，构建新时代思想政治教育工作体系和“三全十育人”新格局，凝心聚力，全面提升思想政治教育工作质量。（1）落深落细课程思政改革。在学院目标管理考核办法中，把课程思政建设列为学院加强内涵建设的重要内容，3门课程入选校级课程思政示范课。（2）深入开展实践、实习，注重学以致用、知行合一。选派实践经验丰富、业务水平精湛的老师带领学生深入行业一线，发挥专业特色，助力乡村振兴，勇担服务地方经济的责任使命。（3）夯实基层党组织建设。以“两学一做”学习教育、“不忘初心、牢记使命”主题教育等为抓手，深入学习贯彻习近平总书记关于教育的重要论述精神，把全面从严治党贯穿到基层党组织建设全过程。教师殷光文获评福建省高校优秀党务工作者。（4）选优配强思政队伍，全面提升综合素质。由学院党委副书记统筹、指导工作，专职辅导员配合研究生导师负责研究生思想政治教育等具体工作，保障队伍人员充足、结构合理。</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2.师德师风建设</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学位建设过程中，始终坚持把师德师风作为评价教师队伍素质的第一标准，着力健全师德师风建设长效机制，用制度的力量确保师德师风建设常态化、机制化。（1）强化思想引领。贯彻落实学校《教师政治理论学习制度》，将教师政治理论学习与学院党委理论学习中心组学习计划同谋划、同部署、同安排，通过多种会议形式将教师政治理论学习融入到各项工作中，组织教师深入学习贯彻习近平新时代中国特色社会主义思想，召开师德师风专题学习研讨暨师德警示教育大会，通过理论学习和案例警示，教育引导教职员工筑牢思想的基石。（2）严把教师思想品德关。严格贯彻落实研究生导师立德树人实施细则、学院目标管理考核办法、教师职业行为负面清单及师德失范行为处理办法等师德建设制度，规范导师管理，要求研究生导师严格落实研究生培养第一责任人职责，以立德树人为根本，坚持“四个相统一”，自觉履行“四为服务”职责，加强研究生培养过程管理。（3）抓好教师意识形态工作。对教师网上网下言行加强规范和监管，开展师德失范和学术不端行为自查，通过学习教育、宣传贯彻等方式，规范教师履职履责行为。建立家校互联、师生互通的师德监督网络，畅通网络、电话、信访等反馈渠道，对倾向性、苗头性问题及时发现、提前预判，对师德失范问题严处理、“零容忍”。（4）加强宣传学习和营造氛围。综合运用授予荣誉、事迹报告、创作文艺作品、线上线下报道等手段，增强教师成就感、获得感、荣誉感，充分激发和保护教师教书育人、立德树人的积极性、主动性、创造性。当年度本专业未出现师德师风负面问题。</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3.招生选拔</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为了吸引优质生源，提升生源质量，在线上进行了招生宣传，宣讲招生政策和奖励政策等。本年度顺利完成了招生计划，生源质量与结构显著提高。本年度招生31人。</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4.课程教学</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使研究生掌握本专业坚实的基础理论、系统的专门知识和较好的实验技能，必须学好必修课和选修课。注意因材施教。课程学习可采取课堂讲授、专题报告和讨论及导师指导下自学指定书刊、撰写学习报告等方式，培养独立获得知识、分析和解决问题的能力。必修课必须通过考试，选修课必须通过考试或考查，成绩合格才能获得学分。</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课程学习要求至少获得28学分，其中学位课15学分，非学位课至少13学分。课程类别分为学位课和非学位课，其中非学位课又分为必修课和选修课。跨学科专业录取的硕士研究生，应补修2门本学科的本科生主干课程，并列入个人培养计划中，补修课程70分以上为合格，补修课程考试不合格者不得进入中期考核,补修课程不计入总学分。</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5.导师管理</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动物科学学院硕士研究生指导教师招生资格认定与管理实施细则”，对指导研究生导师资格进行认定。研究生指导教师招生资格认定工作应遵循“注重水平、坚持标准、择优上岗、动态管理”的原则，选拔出责任心强、学术造诣深、科研水平高的导师，不断推进硕士学位授权学科专业的建设与发展，提升硕士学位授权学科专业水平。选拨标准对任职教师基本条件、学术水平和科研项目等具有明确的要求。</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硕士生在导师或以导师为主的指导小组的指导下，通过课程学习、文献阅读(要求阅读60篇以上的文献资料)和对国内外情况的了解，写出与科研课题有关的文献综述，在此基础上进行论文选题与开题。学位论文必须在导师的指导下由研究生本人独立完成，并要求立论正确、思路清晰、资料可靠、具有一定的理论意义或实际应用价值。论文写作必须符合《福建农林大学研究生学位论文格式要求》。</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规定对违纪违法、违反学术道德和社会公德的导师；对不履行导师职责，难以保证研究生培养质量的导师，学校将视其情节、影响程度和认识态度给予批评教育及相应处罚。处罚包括：减少招生指标、取消一年或三年的招生资格。</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6.学术训练</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参加学术活动是提高研究生学术视野和科研能力重要方式，学术活动包括做学术报告和听学术报告。参加本学科领域国内全国性一级学会举办的全国性学术会议并做报告每场计2学分，参加本学科领域其它全国性学术会议并做报告每场计0.5学分，在全校或学院作学术报告每场计0.5学分；参加本学科领域国际学术会议每场计2学分，参加本学科领域国内全国性一级学会举办的全国性学术会议每场计0.5学分，参加本学科领域其它全国性学术会议每场计0.1学分，参加学术报告会及各类讲座等每场计0.1学分。在全校或学院作学术报告所获得学分累计最高计1.5学分。具体要求根据《福建农林大学研究生参加学术活动管理规定》执行。</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实践教育是研究生培养的基本要求，包括科研实践、教学实践、管理实践和社会实践。其中科研实践为必修环节，教学实践、管理实践和社会实践任选，至少选择其一项。科研实践一般应聘为助研，导师或导师小组负责聘任，研究生参加导师或指导小组教师科研项目申报、项目实施等，由导师或导师小组负责出具证明进行考核；教学实践一般应聘为助教，协助指导教师或本学科专业任课教师的本科生教学、实验，指导本科生毕业论文（设计）等，由指导教师或本学科专业任课教师考核，由聘任单位教务部门出具证明进行考核；管理实践一般聘为助管，担任校内管理部门工作助手，完成一篇及以上心得体会，由聘用部门出具证明进行考核；社会实践一般为志愿服务、课题调查研究等，撰写一篇及以上调查报告，由参加社会实践主办部门出具证明进行考核。科研实践考核通过计1学分，教学实践、管理实践或社会实践考核通过计1学分。</w:t>
      </w:r>
    </w:p>
    <w:p>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left="0" w:leftChars="0"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rPr>
        <w:t>质量监控</w:t>
      </w:r>
      <w:r>
        <w:rPr>
          <w:rFonts w:hint="default" w:ascii="Times New Roman" w:hAnsi="Times New Roman" w:eastAsia="仿宋" w:cs="Times New Roman"/>
          <w:sz w:val="32"/>
          <w:szCs w:val="32"/>
        </w:rPr>
        <w:t>：</w:t>
      </w:r>
      <w:r>
        <w:rPr>
          <w:rFonts w:hint="default" w:ascii="Times New Roman" w:hAnsi="Times New Roman" w:eastAsia="仿宋_GB2312" w:cs="Times New Roman"/>
          <w:sz w:val="32"/>
          <w:szCs w:val="32"/>
          <w:lang w:val="en-US" w:eastAsia="zh-CN"/>
        </w:rPr>
        <w:t>分流淘汰、学位论文、学风教育</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1.分流淘汰</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严格按照“福建农林大学关于学术型研究生开题报告的暂行规定（修订）”、“福建农林大学学术型研究生中期考核办法（修订）”，学院成立若干小组，对于开题、中期等进行认真评议，考核内容包括： （1）思想政治表现、品德与科学作风； （2）学位课和其他必修课、补修课的学习成绩以及完成学分情况；（3）对选题的认识、试验设计和技术路线的理解、研究方法和测试手段的掌握程度。考核合格者可继续学习，通过开题报告后，进入论文工作。对存在问题的学生，限期整改。</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本年度没有分流淘汰的学生。</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2.学位论文</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严把学位论文质量。</w:t>
      </w:r>
      <w:r>
        <w:rPr>
          <w:rFonts w:hint="eastAsia" w:ascii="Times New Roman" w:hAnsi="Times New Roman" w:eastAsia="仿宋_GB2312" w:cs="Times New Roman"/>
          <w:sz w:val="32"/>
          <w:szCs w:val="32"/>
          <w:lang w:val="en-US" w:eastAsia="zh-CN"/>
        </w:rPr>
        <w:t>严格</w:t>
      </w:r>
      <w:r>
        <w:rPr>
          <w:rFonts w:hint="default" w:ascii="Times New Roman" w:hAnsi="Times New Roman" w:eastAsia="仿宋_GB2312" w:cs="Times New Roman"/>
          <w:sz w:val="32"/>
          <w:szCs w:val="32"/>
          <w:lang w:val="en-US" w:eastAsia="zh-CN"/>
        </w:rPr>
        <w:t>按照</w:t>
      </w:r>
      <w:r>
        <w:rPr>
          <w:rFonts w:hint="eastAsia" w:ascii="Times New Roman" w:hAnsi="Times New Roman" w:eastAsia="仿宋_GB2312" w:cs="Times New Roman"/>
          <w:sz w:val="32"/>
          <w:szCs w:val="32"/>
          <w:lang w:val="en-US" w:eastAsia="zh-CN"/>
        </w:rPr>
        <w:t>学校有关</w:t>
      </w:r>
      <w:r>
        <w:rPr>
          <w:rFonts w:hint="default" w:ascii="Times New Roman" w:hAnsi="Times New Roman" w:eastAsia="仿宋_GB2312" w:cs="Times New Roman"/>
          <w:sz w:val="32"/>
          <w:szCs w:val="32"/>
          <w:lang w:val="en-US" w:eastAsia="zh-CN"/>
        </w:rPr>
        <w:t>研究生学位论文评审工作的</w:t>
      </w:r>
      <w:r>
        <w:rPr>
          <w:rFonts w:hint="eastAsia" w:ascii="Times New Roman" w:hAnsi="Times New Roman" w:eastAsia="仿宋_GB2312" w:cs="Times New Roman"/>
          <w:sz w:val="32"/>
          <w:szCs w:val="32"/>
          <w:lang w:val="en-US" w:eastAsia="zh-CN"/>
        </w:rPr>
        <w:t>相关</w:t>
      </w:r>
      <w:r>
        <w:rPr>
          <w:rFonts w:hint="default" w:ascii="Times New Roman" w:hAnsi="Times New Roman" w:eastAsia="仿宋_GB2312" w:cs="Times New Roman"/>
          <w:sz w:val="32"/>
          <w:szCs w:val="32"/>
          <w:lang w:val="en-US" w:eastAsia="zh-CN"/>
        </w:rPr>
        <w:t>要求进行，坚持事前监控和事后抽查相结合，建立学术不端行为检测、学位论文送审、答辩、学位授予等学位论文质量监控程序，建立校级学位论文抽查制度，严把学位论文出口关。本年度没有论文抽检不合格的学生。</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3.学风教育</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崇尚科学精神，恪守学术道德规范，尊重知识产权，杜绝一切学术不端行为。如存在学术不端行为，根据国家和福建农林大学学术不端行为查处的相关规定，进行相应的惩处。加强学术规范，营造良好的学术氛围。进一步规范学术行为，严明学术纪律，维护学术道德，预防学术腐败，形成崇尚科学、严谨治学的良好氛围。结合科学道德和学风宣讲教育等工作，采取多种形式，认真做好学习宣传和实施工作。要求各学院和导师在新生入学教育、论文开题等关键节点，采取适当方式，组织集中宣讲和指导教育。学院</w:t>
      </w:r>
      <w:r>
        <w:rPr>
          <w:rFonts w:hint="eastAsia" w:ascii="Times New Roman" w:hAnsi="Times New Roman" w:eastAsia="仿宋_GB2312" w:cs="Times New Roman"/>
          <w:sz w:val="32"/>
          <w:szCs w:val="32"/>
          <w:lang w:val="en-US" w:eastAsia="zh-CN"/>
        </w:rPr>
        <w:t>常态化</w:t>
      </w:r>
      <w:r>
        <w:rPr>
          <w:rFonts w:hint="default" w:ascii="Times New Roman" w:hAnsi="Times New Roman" w:eastAsia="仿宋_GB2312" w:cs="Times New Roman"/>
          <w:sz w:val="32"/>
          <w:szCs w:val="32"/>
          <w:lang w:val="en-US" w:eastAsia="zh-CN"/>
        </w:rPr>
        <w:t>开展研究生学术道德宣讲。</w:t>
      </w:r>
    </w:p>
    <w:p>
      <w:pPr>
        <w:pStyle w:val="3"/>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default" w:ascii="Times New Roman" w:hAnsi="Times New Roman" w:eastAsia="黑体" w:cs="Times New Roman"/>
          <w:b w:val="0"/>
          <w:bCs/>
          <w:snapToGrid w:val="0"/>
          <w:color w:val="auto"/>
          <w:sz w:val="32"/>
          <w:szCs w:val="32"/>
        </w:rPr>
      </w:pPr>
      <w:r>
        <w:rPr>
          <w:rFonts w:hint="default" w:ascii="Times New Roman" w:hAnsi="Times New Roman" w:eastAsia="黑体" w:cs="Times New Roman"/>
          <w:b w:val="0"/>
          <w:bCs/>
          <w:snapToGrid w:val="0"/>
          <w:color w:val="auto"/>
          <w:sz w:val="32"/>
          <w:szCs w:val="32"/>
        </w:rPr>
        <w:t>二、工作特色与成效</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体现本学位授权点的特色和人才培养水平，包含制度建设、立德树人、科教融合、产教融合、质量保障体系建设等方面的工作举措和成效。</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1.大力加强师德师风建设</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把落实立德树人根本任务作为一切工作的出发点和立足点，教育引导教师要按照“四有”好老师，“四个引路人”“四个相统一”“六个要”高标准要求，争做新时代优秀人民教师。进一步加强师德师风建设，做细用实师德师风考核，强化师德师风教育监督，严格执行师德“一票否决制”、学术不端行为“一票否决制”。引导教师为人师表、教书育人。大力弘扬科学精神，鼓励教师开拓创新、严谨治学。</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2.加强高层次人才队伍建设</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围绕学科建设，建设培育高水平的教学科研团队。2022年，本学科引进1位国外优青项目获得者，引进5位博士教师，人才建设获得突出成绩。</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3.大力开展产教融合</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加强学科和企业的合作交流，组建由专业教师和企业骨干专家组成的生产教学团队，共同承担教学任务，合作进行专业技术人才培养。在校内的教学活动中以专业教师为主，在企业实习过程中以企业专家的授课为主。同时，不定期安排专业教师到企业进行实践锻炼、指导生产，开展校企学科和企业合作的新试验项目，提高专业教师综合素质，更好服务教学与科研活动。</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4.开展专业建设质量评价</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构建全员参与的人才培养质量保障体系，建立“监督、反馈、调整、改进、提升”闭合循环的全员协同人才培养质量保障机制；以课程评估为基础，建立教学奖励约束机制，改革教学内容，推进教学方法改革，加强课程实施过程考核。</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5.加强研究生日常教学管理工作</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方面，着力抓教学团队建设，另一方面，扎实抓学生能力训练。积极组织研究生参加各类竞赛，如创新创业大赛。加强校外实践基地建设，建立校外实践基地的退出机制，淘汰不合格实践基地，遴选保留符合条件的实践基地。修订研究生培养方案，分类推进学术型和专业学位型研究生培养模式改革，加强研究生科研训练和实践能力培养；完善研究生课程教学体系。加强研究生导师队伍建设，明确导师与学位授权点的归属关系；完善导师分类指导制度，建立产学研联合培养研究生的“双导师制”,切实提高研究生教育质量。</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6.推进教师分类发展和教学团队建设</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兽医学是集教学、科研和社会服务为一体的学科，学科的教师肩负着培养高素质、创新型兽医学人才，科研成果转化和社会服务的重要责任和使命。学科鼓励教师积极参与申报国家级、省级和校级的精品课程建设、教学改革项目、实验技术项目、网络实验建设、教材建设和大学生慕课建设项目，并把取得的建设成果应用到教学活动中，在教学实践过程中，不断改进与完善。鼓励教师依据自身特点和科研方向等、结合学院发展需要，“量身定制”发展规划，学院提供相应平台、资源，整合团队力量，形成优势互补、综合提升的教学团队建设机制。</w:t>
      </w:r>
    </w:p>
    <w:p>
      <w:pPr>
        <w:pStyle w:val="3"/>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default" w:ascii="Times New Roman" w:hAnsi="Times New Roman" w:eastAsia="黑体" w:cs="Times New Roman"/>
          <w:b w:val="0"/>
          <w:bCs/>
          <w:snapToGrid w:val="0"/>
          <w:color w:val="auto"/>
          <w:sz w:val="32"/>
          <w:szCs w:val="32"/>
        </w:rPr>
      </w:pPr>
      <w:r>
        <w:rPr>
          <w:rFonts w:hint="default" w:ascii="Times New Roman" w:hAnsi="Times New Roman" w:eastAsia="黑体" w:cs="Times New Roman"/>
          <w:b w:val="0"/>
          <w:bCs/>
          <w:snapToGrid w:val="0"/>
          <w:color w:val="auto"/>
          <w:sz w:val="32"/>
          <w:szCs w:val="32"/>
          <w:lang w:eastAsia="zh-CN"/>
        </w:rPr>
        <w:t>三、</w:t>
      </w:r>
      <w:r>
        <w:rPr>
          <w:rFonts w:hint="default" w:ascii="Times New Roman" w:hAnsi="Times New Roman" w:eastAsia="黑体" w:cs="Times New Roman"/>
          <w:b w:val="0"/>
          <w:bCs/>
          <w:snapToGrid w:val="0"/>
          <w:color w:val="auto"/>
          <w:sz w:val="32"/>
          <w:szCs w:val="32"/>
        </w:rPr>
        <w:t>学位点建设存在的问题</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目前，学科的整体师资力量还比较薄弱，专任教师人数不够，高级职称人数比例偏低，师资年龄结构不合理，师资队伍建设不足，特别是青年教师缺乏生产一线的实践经验，教学经验不足；国家级高层次人才严重不足；现有科研平台不能满足福建省动物重大疫病防控及食品安全的需求，资源利用率低，整体研究水平较低；校内教学实践基地及实验室不能满足本科实践教学、学生专业课程实验及实习的需求。</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教学科研成果与学院的办学历史和规模不相匹配，缺乏国家级成果。在科研方面，国家级科研项目较少，有显示度的科研成果较少，科研方向、科研特色需要进一步凝练。发表的高水平学术论文数量偏少，在国家和福建省重大科技发展计划中的影响力不够。在社会服务方面，学科实践性、应用性较强，青年教师缺乏生产一线的实践经验，社会服务队伍年龄偏老，亟需补充后备队伍。服务乡村振兴和农业农村现代化建设范围有待进一步扩展，能力需要进一步提高。</w:t>
      </w:r>
    </w:p>
    <w:p>
      <w:pPr>
        <w:pStyle w:val="3"/>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default" w:ascii="Times New Roman" w:hAnsi="Times New Roman" w:eastAsia="黑体" w:cs="Times New Roman"/>
          <w:b w:val="0"/>
          <w:bCs/>
          <w:snapToGrid w:val="0"/>
          <w:color w:val="auto"/>
          <w:sz w:val="32"/>
          <w:szCs w:val="32"/>
          <w:lang w:val="en-US" w:eastAsia="zh-CN"/>
        </w:rPr>
      </w:pPr>
      <w:r>
        <w:rPr>
          <w:rFonts w:hint="default" w:ascii="Times New Roman" w:hAnsi="Times New Roman" w:eastAsia="黑体" w:cs="Times New Roman"/>
          <w:b w:val="0"/>
          <w:bCs/>
          <w:snapToGrid w:val="0"/>
          <w:color w:val="auto"/>
          <w:sz w:val="32"/>
          <w:szCs w:val="32"/>
          <w:lang w:val="en-US" w:eastAsia="zh-CN"/>
        </w:rPr>
        <w:t>四、下一年度建设计划</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针对学位点建设存在的问题，提出下一年度建设改进计划，包括发展目标和保障措施。</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1.发展目标</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兽医学科整体研究实力有较大幅度的提高，专任教师的数量有比较明显的增加，职称结构和年龄结构更加合理。国家级科研项目数量和合同经费有大幅的增长。专任教师发表一系列有显示度的研究论文，服务产业发展的能力得到进一步加强。</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2.保障措施</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2.1 学科和专业建设方面</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大力发展兽医博士专业学位，在此基础上，整合畜牧学、蜂学、生物学以及其他相关学科的师资队伍和平台资源，争取成功申报兽医学学术型一级学科博士点。力争兽医学科综合水平进入国际知名，国内一流行列。</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2.2 科研创新方面</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在国家重点研发计划项目中取得新突破，在国家国际合作、基地和人才专项等方面取得零的突破，国家自然科学基金、省部级项目数均有增加；努力提高学院科研成果、专利、论文等科研产出的质量和水平；做好科研与教学和人才培养协调发展工作。继续开展优秀人才扶持基金项目，强化项目管理，进行项目绩效考核。</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2.3 人才培养与人才队伍建设</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大力加强课程建设，培育省级以上一流课程2-3门，各类规划教材2-3部，省级教学改革项目1-3项；力争获得1-2项省级教学成果奖；每年新增省级或国家级大学生创新创业训练计划项目2-3项，在全国性大学生专业技能大赛上获奖项2-3项。现有动物医学专业本科生福建省财政拨款增加到2.2万元/每生每年，要抓住国家政策优势，进一步挖掘生源潜力，在保持优势的基础上，进一步扩大动物医学本科生招生规模，并合理分班，提高学生培养质量，同时扩大研究生招生规模。</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打好引才育才聚才用才“组合拳”，构建更具竞争力吸引力的人才政策体系和服务体系。深入实施省引才“百人计划”、青年拔尖人才“雏鹰计划”和“八闽英才”培育工程。兽医学引进领军人物（院士、国家重点研发计划首席科学家、杰青等）1-2个，其它各类高层次人才1-2人，博士3-5人。培养2-3名“金山学者”青年学术新秀，1-2名“金山学者”拔尖人才；争取1-2名教师入选“福建省高等学校新世纪优秀人才支持计划”，努力在国家级人才入选方面有突破。多渠道培训教师，提升教师素质，不断提高具有博士学位的教师比例。</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2.4 平台基地建设</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鉴于动物疫病传播的日益严重，特别是人兽共患传染病防控的严峻形势，建立人兽共患传染病福建省重点实验室，进一步加强动物疫病科学研究和教学平台建设。完成新动物医院建设，建成福建省畜禽疫病诊断中心、宠物疾病诊疗中心和兽医技术推广中心。把动物医院建设成我省动物临床诊疗方面最具技术权威机构。在原有科研创新平台的基础上，大力推进高端创新平台建设。更好发挥省部级科研创新平台和重点实验室的功能。加强与国家级科研平台和国家级重点实验室的交流合作，共同建立联合实验室，聚焦学科交叉前沿研究方向，开展前瞻性、战略性、前沿性基础研究，推进学科发展和提高科学研究水平。力争申报、获批1-2项国家或省部级创新平台。</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2.5 社会服务</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通过积极参与多种形式的社会服务，增强校企合作，推广转化新技术、新产品，使社会服务能力增强，服务成效更加显著。社会服务总体贡献度和社会满意度显著提升。争取横向课题经费达到100万元。横向科研项目、科技成果转让项目及科技推广项目的项目数和经费实现完成学校下达的指标。</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2.6 党建思政工作</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坚持理论武装，提高政治能力；加强支部建设，提升组织能力；强化立德树人，提升育人能力；落实“一岗双责”，提高管党治党能力；建强“课程思政”，凝聚思政教育合力；一以贯之站稳守好意识形态阵地，坚持不懈抓好党风廉政建设，不断推进全面从严治党纵深发展，积极发挥党委政治核心作用，在政治上把方向、举旗帜，在战略上管大局、做决策，在组织上抓班子、带队伍，在改革中聚心力、强基础，在监督上扛责任、保落实，坚持党建思政引领，推动学院高质量内涵式发展。</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2.7 对外交流</w:t>
      </w:r>
    </w:p>
    <w:p>
      <w:pPr>
        <w:pageBreakBefore w:val="0"/>
        <w:wordWrap/>
        <w:overflowPunct/>
        <w:topLinePunct w:val="0"/>
        <w:bidi w:val="0"/>
        <w:adjustRightInd w:val="0"/>
        <w:spacing w:line="560" w:lineRule="exact"/>
        <w:ind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lang w:val="en-US" w:eastAsia="zh-CN"/>
        </w:rPr>
        <w:t>加强国际交流与合作，开展实质性高水平的合作研究，积极参加学术交流活动，支持学院师生对外访学与交流，拓展学院教师的国际化视野，扩大学院的国际影响力。</w:t>
      </w:r>
    </w:p>
    <w:sectPr>
      <w:headerReference r:id="rId5" w:type="default"/>
      <w:footerReference r:id="rId6" w:type="default"/>
      <w:pgSz w:w="11906" w:h="16838"/>
      <w:pgMar w:top="1701" w:right="1701" w:bottom="1418" w:left="1701" w:header="720" w:footer="720" w:gutter="0"/>
      <w:cols w:space="720" w:num="1"/>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23</w:t>
    </w:r>
    <w:r>
      <w:rPr>
        <w:kern w:val="0"/>
        <w:szCs w:val="21"/>
      </w:rPr>
      <w:fldChar w:fldCharType="end"/>
    </w:r>
    <w:r>
      <w:rPr>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7BCA09"/>
    <w:multiLevelType w:val="singleLevel"/>
    <w:tmpl w:val="1A7BCA09"/>
    <w:lvl w:ilvl="0" w:tentative="0">
      <w:start w:val="1"/>
      <w:numFmt w:val="chineseCounting"/>
      <w:suff w:val="nothing"/>
      <w:lvlText w:val="（%1）"/>
      <w:lvlJc w:val="left"/>
      <w:rPr>
        <w:rFonts w:hint="eastAsia" w:ascii="楷体_GB2312" w:hAnsi="楷体_GB2312" w:eastAsia="楷体_GB2312" w:cs="楷体_GB2312"/>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OWQ3NjQ3MzVlZTFkZDMxODdhNWM1YWE2YmY1ODgifQ=="/>
  </w:docVars>
  <w:rsids>
    <w:rsidRoot w:val="267C5DE3"/>
    <w:rsid w:val="0139540B"/>
    <w:rsid w:val="024D50AF"/>
    <w:rsid w:val="0A4B01E4"/>
    <w:rsid w:val="0ACB4AE9"/>
    <w:rsid w:val="0B7C709D"/>
    <w:rsid w:val="0BFF572B"/>
    <w:rsid w:val="0C6C00A7"/>
    <w:rsid w:val="0E2F5830"/>
    <w:rsid w:val="0F522D8C"/>
    <w:rsid w:val="16414028"/>
    <w:rsid w:val="1881312C"/>
    <w:rsid w:val="19763379"/>
    <w:rsid w:val="19B70E5E"/>
    <w:rsid w:val="1F4F3511"/>
    <w:rsid w:val="20895278"/>
    <w:rsid w:val="22F346A5"/>
    <w:rsid w:val="26185FFA"/>
    <w:rsid w:val="264D532C"/>
    <w:rsid w:val="267C5DE3"/>
    <w:rsid w:val="28523C13"/>
    <w:rsid w:val="28813F88"/>
    <w:rsid w:val="2E1C30BE"/>
    <w:rsid w:val="2EEF6728"/>
    <w:rsid w:val="2FAA7FCD"/>
    <w:rsid w:val="33955886"/>
    <w:rsid w:val="366711AF"/>
    <w:rsid w:val="3D1B6DFC"/>
    <w:rsid w:val="3FBF5061"/>
    <w:rsid w:val="44F40350"/>
    <w:rsid w:val="460139DA"/>
    <w:rsid w:val="4AA20BA5"/>
    <w:rsid w:val="4CDF2B18"/>
    <w:rsid w:val="4DD0518F"/>
    <w:rsid w:val="51935AB4"/>
    <w:rsid w:val="54522542"/>
    <w:rsid w:val="55124B31"/>
    <w:rsid w:val="583B614D"/>
    <w:rsid w:val="5A240923"/>
    <w:rsid w:val="5BC528FD"/>
    <w:rsid w:val="5BD7618C"/>
    <w:rsid w:val="5DAA0AF3"/>
    <w:rsid w:val="5DF94AE0"/>
    <w:rsid w:val="5F174D17"/>
    <w:rsid w:val="64724F26"/>
    <w:rsid w:val="69470309"/>
    <w:rsid w:val="6C2A3AD7"/>
    <w:rsid w:val="6D0A3E84"/>
    <w:rsid w:val="6D8B7481"/>
    <w:rsid w:val="71324139"/>
    <w:rsid w:val="74181EB8"/>
    <w:rsid w:val="74B833E0"/>
    <w:rsid w:val="758E58D4"/>
    <w:rsid w:val="76793A1C"/>
    <w:rsid w:val="7E1E5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3">
    <w:name w:val="heading 1"/>
    <w:basedOn w:val="1"/>
    <w:next w:val="1"/>
    <w:qFormat/>
    <w:uiPriority w:val="0"/>
    <w:pPr>
      <w:keepNext/>
      <w:keepLines/>
      <w:spacing w:before="91" w:line="185" w:lineRule="auto"/>
      <w:ind w:firstLine="590"/>
      <w:outlineLvl w:val="0"/>
    </w:pPr>
    <w:rPr>
      <w:rFonts w:eastAsia="宋体"/>
      <w:b/>
      <w:kern w:val="44"/>
      <w:sz w:val="28"/>
    </w:rPr>
  </w:style>
  <w:style w:type="paragraph" w:styleId="4">
    <w:name w:val="heading 3"/>
    <w:basedOn w:val="1"/>
    <w:next w:val="1"/>
    <w:qFormat/>
    <w:uiPriority w:val="0"/>
    <w:pPr>
      <w:keepNext/>
      <w:keepLines/>
      <w:spacing w:beforeLines="50" w:line="360" w:lineRule="auto"/>
      <w:ind w:firstLine="880" w:firstLineChars="200"/>
      <w:outlineLvl w:val="2"/>
    </w:pPr>
    <w:rPr>
      <w:rFonts w:ascii="黑体" w:hAnsi="黑体" w:eastAsia="黑体"/>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Times New Roman" w:hAnsi="Times New Roman" w:eastAsia="黑体"/>
      <w:sz w:val="44"/>
    </w:rPr>
  </w:style>
  <w:style w:type="paragraph" w:styleId="5">
    <w:name w:val="index 5"/>
    <w:basedOn w:val="1"/>
    <w:next w:val="1"/>
    <w:qFormat/>
    <w:uiPriority w:val="0"/>
    <w:pPr>
      <w:ind w:left="1680"/>
    </w:pPr>
  </w:style>
  <w:style w:type="paragraph" w:styleId="6">
    <w:name w:val="Balloon Text"/>
    <w:basedOn w:val="1"/>
    <w:next w:val="5"/>
    <w:unhideWhenUsed/>
    <w:qFormat/>
    <w:uiPriority w:val="99"/>
    <w:rPr>
      <w:sz w:val="18"/>
      <w:szCs w:val="18"/>
    </w:rPr>
  </w:style>
  <w:style w:type="paragraph" w:styleId="7">
    <w:name w:val="footer"/>
    <w:basedOn w:val="1"/>
    <w:qFormat/>
    <w:uiPriority w:val="99"/>
    <w:pPr>
      <w:tabs>
        <w:tab w:val="center" w:pos="4153"/>
        <w:tab w:val="right" w:pos="8306"/>
      </w:tabs>
      <w:adjustRightInd/>
      <w:snapToGrid w:val="0"/>
      <w:spacing w:line="240" w:lineRule="auto"/>
      <w:jc w:val="left"/>
      <w:textAlignment w:val="auto"/>
    </w:pPr>
    <w:rPr>
      <w:kern w:val="2"/>
      <w:sz w:val="18"/>
      <w:szCs w:val="18"/>
    </w:rPr>
  </w:style>
  <w:style w:type="paragraph" w:styleId="8">
    <w:name w:val="header"/>
    <w:basedOn w:val="1"/>
    <w:qFormat/>
    <w:uiPriority w:val="99"/>
    <w:pPr>
      <w:pBdr>
        <w:bottom w:val="single" w:color="auto" w:sz="6" w:space="1"/>
      </w:pBdr>
      <w:tabs>
        <w:tab w:val="center" w:pos="4153"/>
        <w:tab w:val="right" w:pos="8306"/>
      </w:tabs>
      <w:adjustRightInd/>
      <w:snapToGrid w:val="0"/>
      <w:spacing w:line="240" w:lineRule="auto"/>
      <w:jc w:val="center"/>
      <w:textAlignment w:val="auto"/>
    </w:pPr>
    <w:rPr>
      <w:kern w:val="2"/>
      <w:sz w:val="18"/>
      <w:szCs w:val="18"/>
    </w:rPr>
  </w:style>
  <w:style w:type="paragraph" w:customStyle="1" w:styleId="11">
    <w:name w:val="Fließtext"/>
    <w:basedOn w:val="1"/>
    <w:qFormat/>
    <w:uiPriority w:val="99"/>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9709</Words>
  <Characters>10023</Characters>
  <Lines>0</Lines>
  <Paragraphs>0</Paragraphs>
  <TotalTime>29</TotalTime>
  <ScaleCrop>false</ScaleCrop>
  <LinksUpToDate>false</LinksUpToDate>
  <CharactersWithSpaces>10057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2022-12-14T11:24:00Z</dcterms:created>
  <dc:creator>Administrator</dc:creator>
  <cp:lastModifiedBy>QSL</cp:lastModifiedBy>
  <dcterms:modified xsi:type="dcterms:W3CDTF">2023-04-06T01:17:01Z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392999B686D0455E80837FF1A6F2ADAE</vt:lpwstr>
  </property>
</Properties>
</file>