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 w:val="0"/>
          <w:bCs w:val="0"/>
          <w:sz w:val="52"/>
          <w:szCs w:val="72"/>
          <w:lang w:eastAsia="zh-CN"/>
        </w:rPr>
      </w:pPr>
    </w:p>
    <w:p>
      <w:pPr>
        <w:jc w:val="center"/>
        <w:rPr>
          <w:rFonts w:hint="default" w:ascii="Times New Roman" w:hAnsi="Times New Roman" w:eastAsia="黑体" w:cs="Times New Roman"/>
          <w:b w:val="0"/>
          <w:bCs w:val="0"/>
          <w:sz w:val="52"/>
          <w:szCs w:val="72"/>
        </w:rPr>
      </w:pPr>
      <w:r>
        <w:rPr>
          <w:rFonts w:hint="default" w:ascii="Times New Roman" w:hAnsi="Times New Roman" w:eastAsia="黑体" w:cs="Times New Roman"/>
          <w:b w:val="0"/>
          <w:bCs w:val="0"/>
          <w:sz w:val="52"/>
          <w:szCs w:val="72"/>
        </w:rPr>
        <w:t>学位授权点建设年度报告</w:t>
      </w:r>
    </w:p>
    <w:p>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（2022年）</w:t>
      </w:r>
    </w:p>
    <w:p>
      <w:pPr>
        <w:spacing w:line="500" w:lineRule="exact"/>
        <w:rPr>
          <w:rFonts w:hint="default" w:ascii="Times New Roman" w:hAnsi="Times New Roman" w:eastAsia="仿宋" w:cs="Times New Roman"/>
          <w:b w:val="0"/>
          <w:bCs w:val="0"/>
        </w:rPr>
      </w:pPr>
    </w:p>
    <w:p>
      <w:pPr>
        <w:spacing w:line="500" w:lineRule="exact"/>
        <w:rPr>
          <w:rFonts w:hint="default" w:ascii="Times New Roman" w:hAnsi="Times New Roman" w:eastAsia="仿宋" w:cs="Times New Roman"/>
          <w:b w:val="0"/>
          <w:bCs w:val="0"/>
        </w:rPr>
      </w:pPr>
    </w:p>
    <w:p>
      <w:pPr>
        <w:spacing w:line="500" w:lineRule="exact"/>
        <w:rPr>
          <w:rFonts w:hint="default" w:ascii="Times New Roman" w:hAnsi="Times New Roman" w:eastAsia="仿宋" w:cs="Times New Roman"/>
          <w:b w:val="0"/>
          <w:bCs w:val="0"/>
        </w:rPr>
      </w:pPr>
    </w:p>
    <w:p>
      <w:pPr>
        <w:spacing w:line="500" w:lineRule="exact"/>
        <w:rPr>
          <w:rFonts w:hint="default" w:ascii="Times New Roman" w:hAnsi="Times New Roman" w:eastAsia="仿宋" w:cs="Times New Roman"/>
          <w:b w:val="0"/>
          <w:bCs w:val="0"/>
        </w:rPr>
      </w:pPr>
    </w:p>
    <w:p>
      <w:pPr>
        <w:spacing w:line="500" w:lineRule="exact"/>
        <w:rPr>
          <w:rFonts w:hint="default" w:ascii="Times New Roman" w:hAnsi="Times New Roman" w:eastAsia="仿宋" w:cs="Times New Roman"/>
          <w:b w:val="0"/>
          <w:bCs w:val="0"/>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86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 xml:space="preserve">               学位授予单位</w:t>
            </w:r>
          </w:p>
        </w:tc>
        <w:tc>
          <w:tcPr>
            <w:tcW w:w="2867" w:type="dxa"/>
            <w:shd w:val="clear" w:color="auto" w:fill="auto"/>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名称  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jc w:val="center"/>
              <w:rPr>
                <w:rFonts w:hint="default" w:ascii="Times New Roman" w:hAnsi="Times New Roman" w:eastAsia="楷体" w:cs="Times New Roman"/>
                <w:b w:val="0"/>
                <w:bCs w:val="0"/>
                <w:sz w:val="28"/>
                <w:szCs w:val="36"/>
              </w:rPr>
            </w:pPr>
          </w:p>
        </w:tc>
        <w:tc>
          <w:tcPr>
            <w:tcW w:w="2867" w:type="dxa"/>
            <w:shd w:val="clear" w:color="auto" w:fill="auto"/>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代码  10389</w:t>
            </w:r>
          </w:p>
        </w:tc>
      </w:tr>
    </w:tbl>
    <w:p>
      <w:pPr>
        <w:jc w:val="center"/>
        <w:rPr>
          <w:rFonts w:hint="default" w:ascii="Times New Roman" w:hAnsi="Times New Roman" w:eastAsia="楷体" w:cs="Times New Roman"/>
          <w:b w:val="0"/>
          <w:bCs w:val="0"/>
          <w:sz w:val="28"/>
          <w:szCs w:val="36"/>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3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4261" w:type="dxa"/>
            <w:vMerge w:val="restart"/>
            <w:shd w:val="clear" w:color="auto" w:fill="auto"/>
            <w:vAlign w:val="center"/>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 xml:space="preserve">               授权学科</w:t>
            </w:r>
          </w:p>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 xml:space="preserve">               （类别）</w:t>
            </w:r>
          </w:p>
        </w:tc>
        <w:tc>
          <w:tcPr>
            <w:tcW w:w="2332" w:type="dxa"/>
            <w:shd w:val="clear" w:color="auto" w:fill="auto"/>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名称   金融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jc w:val="center"/>
              <w:rPr>
                <w:rFonts w:hint="default" w:ascii="Times New Roman" w:hAnsi="Times New Roman" w:eastAsia="楷体" w:cs="Times New Roman"/>
                <w:b w:val="0"/>
                <w:bCs w:val="0"/>
                <w:sz w:val="28"/>
                <w:szCs w:val="36"/>
              </w:rPr>
            </w:pPr>
          </w:p>
        </w:tc>
        <w:tc>
          <w:tcPr>
            <w:tcW w:w="2332" w:type="dxa"/>
            <w:shd w:val="clear" w:color="auto" w:fill="auto"/>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代码   0251</w:t>
            </w:r>
          </w:p>
        </w:tc>
      </w:tr>
    </w:tbl>
    <w:p>
      <w:pPr>
        <w:jc w:val="center"/>
        <w:rPr>
          <w:rFonts w:hint="default" w:ascii="Times New Roman" w:hAnsi="Times New Roman" w:eastAsia="楷体" w:cs="Times New Roman"/>
          <w:b w:val="0"/>
          <w:bCs w:val="0"/>
          <w:sz w:val="28"/>
          <w:szCs w:val="36"/>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4261" w:type="dxa"/>
            <w:vMerge w:val="restart"/>
            <w:shd w:val="clear" w:color="auto" w:fill="auto"/>
            <w:vAlign w:val="center"/>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 xml:space="preserve">               授权级别</w:t>
            </w:r>
          </w:p>
        </w:tc>
        <w:tc>
          <w:tcPr>
            <w:tcW w:w="2347" w:type="dxa"/>
            <w:shd w:val="clear" w:color="auto" w:fill="auto"/>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t>□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jc w:val="center"/>
              <w:rPr>
                <w:rFonts w:hint="default" w:ascii="Times New Roman" w:hAnsi="Times New Roman" w:eastAsia="楷体" w:cs="Times New Roman"/>
                <w:b w:val="0"/>
                <w:bCs w:val="0"/>
                <w:sz w:val="28"/>
                <w:szCs w:val="36"/>
              </w:rPr>
            </w:pPr>
          </w:p>
        </w:tc>
        <w:tc>
          <w:tcPr>
            <w:tcW w:w="2347" w:type="dxa"/>
            <w:shd w:val="clear" w:color="auto" w:fill="auto"/>
          </w:tcPr>
          <w:p>
            <w:pPr>
              <w:jc w:val="center"/>
              <w:rPr>
                <w:rFonts w:hint="default" w:ascii="Times New Roman" w:hAnsi="Times New Roman" w:eastAsia="楷体" w:cs="Times New Roman"/>
                <w:b w:val="0"/>
                <w:bCs w:val="0"/>
                <w:sz w:val="28"/>
                <w:szCs w:val="36"/>
              </w:rPr>
            </w:pPr>
            <w:r>
              <w:rPr>
                <w:rFonts w:hint="default" w:ascii="Times New Roman" w:hAnsi="Times New Roman" w:eastAsia="楷体" w:cs="Times New Roman"/>
                <w:b w:val="0"/>
                <w:bCs w:val="0"/>
                <w:sz w:val="28"/>
                <w:szCs w:val="36"/>
              </w:rPr>
              <w:sym w:font="Wingdings 2" w:char="0052"/>
            </w:r>
            <w:r>
              <w:rPr>
                <w:rFonts w:hint="default" w:ascii="Times New Roman" w:hAnsi="Times New Roman" w:eastAsia="楷体" w:cs="Times New Roman"/>
                <w:b w:val="0"/>
                <w:bCs w:val="0"/>
                <w:sz w:val="28"/>
                <w:szCs w:val="36"/>
              </w:rPr>
              <w:t xml:space="preserve"> 硕士</w:t>
            </w:r>
          </w:p>
        </w:tc>
      </w:tr>
    </w:tbl>
    <w:p>
      <w:pPr>
        <w:jc w:val="center"/>
        <w:rPr>
          <w:rFonts w:hint="default" w:ascii="Times New Roman" w:hAnsi="Times New Roman" w:eastAsia="楷体" w:cs="Times New Roman"/>
          <w:b w:val="0"/>
          <w:bCs w:val="0"/>
          <w:sz w:val="28"/>
          <w:szCs w:val="36"/>
        </w:rPr>
      </w:pPr>
    </w:p>
    <w:p>
      <w:pPr>
        <w:jc w:val="center"/>
        <w:rPr>
          <w:rFonts w:hint="default" w:ascii="Times New Roman" w:hAnsi="Times New Roman" w:eastAsia="楷体" w:cs="Times New Roman"/>
          <w:b w:val="0"/>
          <w:bCs w:val="0"/>
          <w:sz w:val="28"/>
          <w:szCs w:val="36"/>
        </w:rPr>
      </w:pPr>
    </w:p>
    <w:p>
      <w:pPr>
        <w:jc w:val="center"/>
        <w:rPr>
          <w:rFonts w:hint="default" w:ascii="Times New Roman" w:hAnsi="Times New Roman" w:eastAsia="仿宋" w:cs="Times New Roman"/>
          <w:b w:val="0"/>
          <w:bCs w:val="0"/>
          <w:sz w:val="28"/>
          <w:szCs w:val="36"/>
        </w:rPr>
      </w:pPr>
      <w:r>
        <w:rPr>
          <w:rFonts w:hint="default" w:ascii="Times New Roman" w:hAnsi="Times New Roman" w:eastAsia="楷体" w:cs="Times New Roman"/>
          <w:b w:val="0"/>
          <w:bCs w:val="0"/>
          <w:sz w:val="28"/>
          <w:szCs w:val="36"/>
        </w:rPr>
        <w:t>202</w:t>
      </w:r>
      <w:r>
        <w:rPr>
          <w:rFonts w:hint="eastAsia" w:ascii="Times New Roman" w:hAnsi="Times New Roman" w:eastAsia="楷体" w:cs="Times New Roman"/>
          <w:b w:val="0"/>
          <w:bCs w:val="0"/>
          <w:sz w:val="28"/>
          <w:szCs w:val="36"/>
          <w:lang w:val="en-US" w:eastAsia="zh-CN"/>
        </w:rPr>
        <w:t>2</w:t>
      </w:r>
      <w:r>
        <w:rPr>
          <w:rFonts w:hint="default" w:ascii="Times New Roman" w:hAnsi="Times New Roman" w:eastAsia="楷体" w:cs="Times New Roman"/>
          <w:b w:val="0"/>
          <w:bCs w:val="0"/>
          <w:sz w:val="28"/>
          <w:szCs w:val="36"/>
        </w:rPr>
        <w:t>年1</w:t>
      </w:r>
      <w:r>
        <w:rPr>
          <w:rFonts w:hint="eastAsia" w:ascii="Times New Roman" w:hAnsi="Times New Roman" w:eastAsia="楷体" w:cs="Times New Roman"/>
          <w:b w:val="0"/>
          <w:bCs w:val="0"/>
          <w:sz w:val="28"/>
          <w:szCs w:val="36"/>
          <w:lang w:val="en-US" w:eastAsia="zh-CN"/>
        </w:rPr>
        <w:t>2</w:t>
      </w:r>
      <w:r>
        <w:rPr>
          <w:rFonts w:hint="default" w:ascii="Times New Roman" w:hAnsi="Times New Roman" w:eastAsia="楷体" w:cs="Times New Roman"/>
          <w:b w:val="0"/>
          <w:bCs w:val="0"/>
          <w:sz w:val="28"/>
          <w:szCs w:val="36"/>
        </w:rPr>
        <w:t>月3</w:t>
      </w:r>
      <w:r>
        <w:rPr>
          <w:rFonts w:hint="eastAsia" w:ascii="Times New Roman" w:hAnsi="Times New Roman" w:eastAsia="楷体" w:cs="Times New Roman"/>
          <w:b w:val="0"/>
          <w:bCs w:val="0"/>
          <w:sz w:val="28"/>
          <w:szCs w:val="36"/>
          <w:lang w:val="en-US" w:eastAsia="zh-CN"/>
        </w:rPr>
        <w:t>0</w:t>
      </w:r>
      <w:r>
        <w:rPr>
          <w:rFonts w:hint="default" w:ascii="Times New Roman" w:hAnsi="Times New Roman" w:eastAsia="楷体" w:cs="Times New Roman"/>
          <w:b w:val="0"/>
          <w:bCs w:val="0"/>
          <w:sz w:val="28"/>
          <w:szCs w:val="36"/>
        </w:rPr>
        <w:t>日</w:t>
      </w:r>
    </w:p>
    <w:p>
      <w:pPr>
        <w:spacing w:line="500" w:lineRule="exact"/>
        <w:rPr>
          <w:rFonts w:hint="default" w:ascii="Times New Roman" w:hAnsi="Times New Roman" w:eastAsia="仿宋" w:cs="Times New Roman"/>
          <w:b w:val="0"/>
          <w:bCs w:val="0"/>
          <w:sz w:val="32"/>
          <w:szCs w:val="32"/>
        </w:rPr>
      </w:pPr>
      <w:bookmarkStart w:id="0" w:name="_GoBack"/>
      <w:bookmarkEnd w:id="0"/>
    </w:p>
    <w:p>
      <w:pPr>
        <w:spacing w:line="600" w:lineRule="exact"/>
        <w:jc w:val="center"/>
        <w:rPr>
          <w:rFonts w:hint="default" w:ascii="Times New Roman" w:hAnsi="Times New Roman" w:cs="Times New Roman"/>
          <w:b w:val="0"/>
          <w:bCs w:val="0"/>
          <w:sz w:val="44"/>
          <w:szCs w:val="44"/>
        </w:rPr>
      </w:pPr>
    </w:p>
    <w:p>
      <w:pPr>
        <w:spacing w:line="600" w:lineRule="exact"/>
        <w:jc w:val="center"/>
        <w:rPr>
          <w:rFonts w:hint="default" w:ascii="Times New Roman" w:hAnsi="Times New Roman" w:cs="Times New Roman"/>
          <w:b w:val="0"/>
          <w:bCs w:val="0"/>
          <w:sz w:val="44"/>
          <w:szCs w:val="44"/>
        </w:rPr>
      </w:pPr>
      <w:r>
        <w:rPr>
          <w:rFonts w:hint="default" w:ascii="Times New Roman" w:hAnsi="Times New Roman" w:cs="Times New Roman"/>
          <w:b w:val="0"/>
          <w:bCs w:val="0"/>
          <w:sz w:val="44"/>
          <w:szCs w:val="44"/>
        </w:rPr>
        <w:t>2022年金融专业硕士学位授权点</w:t>
      </w:r>
    </w:p>
    <w:p>
      <w:pPr>
        <w:spacing w:line="600" w:lineRule="exact"/>
        <w:jc w:val="center"/>
        <w:rPr>
          <w:rFonts w:hint="default" w:ascii="Times New Roman" w:hAnsi="Times New Roman" w:eastAsia="仿宋" w:cs="Times New Roman"/>
          <w:b w:val="0"/>
          <w:bCs w:val="0"/>
          <w:sz w:val="24"/>
          <w:szCs w:val="24"/>
        </w:rPr>
      </w:pPr>
      <w:r>
        <w:rPr>
          <w:rFonts w:hint="default" w:ascii="Times New Roman" w:hAnsi="Times New Roman" w:cs="Times New Roman"/>
          <w:b w:val="0"/>
          <w:bCs w:val="0"/>
          <w:sz w:val="44"/>
          <w:szCs w:val="44"/>
        </w:rPr>
        <w:t>建设年度报告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福建农林大学创办于1936年，距今已有86年历史，学院现拥有农林经济管理一级学科博士点和农林经济管理博士后科研流动站，并拥有农林经济管理、应用经济学、工商管理一级学科硕士点。本专业起源于1982年创办的农村金融专业，是国内农林院校中最早创办的金融学本科专业，1983年-1989年连续举办7届中国农业银行干部专修班，1994年更名为“货币银行学”专业，1999年更名为“金融学”专业，2020年获批福建省一流本科专业建设点，2022年获批国家一流本科专业建设点。2014年金融专业硕士点获批。学院拥有较长的办学历史，学科建设、人才培养的经验丰富，基础较好，目前已发展成为服务地方能力强、专业水平高的专业。</w:t>
      </w:r>
    </w:p>
    <w:p>
      <w:pPr>
        <w:spacing w:line="560" w:lineRule="exact"/>
        <w:ind w:firstLine="640" w:firstLineChars="200"/>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 教学质量</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（一）培养方案</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MF培养方案的制定和修订，坚持以农村金融为特色的办学理念，秉承专业历史、依托学校资源、发挥学科优势、利用教师专长，结合市场对农村金融专业人才的需求，着力培养具有扎实的经济学理论基础，掌握现代金融专业知识和分析工具，能够胜任银行、保险、证券等金融机构及政府部门和企事业单位的专业工作，尤其能够胜任农村金融与普惠金融实务工作，具有良好综合素质的高层次、应用型金融人才，并从实践平台、课程体系、社会服务、智库平台等方面为金融人才的培养创造条件。主要设为农村金融与普惠金融、金融机构经营与管理、金融市场与投资、风险管理与保险、绿色金融等五个研究方向。</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_GB2312" w:cs="Times New Roman"/>
          <w:b w:val="0"/>
          <w:bCs w:val="0"/>
          <w:sz w:val="32"/>
          <w:szCs w:val="32"/>
        </w:rPr>
        <w:t>经过精心设计，本学位点MF的培养方案力求能够教授学生金融实际工作和研究所需的专业知识、方法和工具，其中，公共学位课3门，专业学位课5门，非学位课12门，同时针对非本专业生源的学生开设3门补修课。专业学位课和非学位课不分具体方向，更多体现学科方向，供学生根据兴趣和需要自主选择。在课程体系建设方面，本学位点MF的培养方案体现农村金融特色，开设了《农村金融与普惠金融专题》（该课程之前名为《农村金融理论与实践》）、《农业经济专题》等特色课程。为响应国家 “双碳”战略和四大经济发展和地方经济和行业发展等对人才培养的需求，以及契合金融专业发展的要求，并利用本校获准建立福建省绿色经济政产学研用金学科联盟的契机，2022年开展培养方案的修订工作，增设了“绿色金融”培养方向，并开设了《绿色金融》等相关课程。突出数字赋能，增设了选修课《数字金融》。同时把论文写作指导课作为必修课，并开设体育、美育、心理健康教育公选课程。</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（二）教学内容</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MF课程按照培养目标导向设置教学内容。培养方案中每门课程均已撰写教学大纲，使用高质量教材，并在教学过程中融入大量案例，体现金融专硕教育目标的要求。如《金融理论与政策》课程使用教指委编写教材《金融理论与政策》，该教材由由全国金融专业学位研究生教育指导委员会组织编写，吴晓求、王广谦担任主编，中国人民大学出版社出版，系全国金融硕士核心课程系列教材，得到教育部研究生教育创新计划资助。《国际金融专题》课程使用教育部推荐教材、金融学研究生核心教材《国际金融学》，该教材由中国人民银行副行长陈雨露主编，中国人民大学出版社出版。《公司金融》采用教指委编写教材《金融理论与政策》，该教材由由全国金融专业学位研究生教育指导委员会组织编写，</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"https://book.jd.com/writer/李曜_1.html" \t "https://item.jd.com/_blank"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李曜</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"https://book.jd.com/writer/刘莉亚_1.html" \t "https://item.jd.com/_blank"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刘莉亚</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"https://book.jd.com/writer/邓辛_1.html" \t "https://item.jd.com/_blank"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邓辛</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t>等著编，系全国金融硕士核心课程系列教材。《金融市场与金融机构》采用教指委编写教材《金融市场与金融机构》，该教材由由全国金融专业学位研究生教育指导委员会组织编写，李心丹主编。《农村金融与普惠金融专题》课程使用以林丽琼主篇的、汇集本学位点专业教师多年科研内容的教材《农村金融学》。</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（三）专业拓展</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目前，本学位点拥有三个科研平台：（1）由中华人民共和国外交部、国家乡村振兴局和福建省联合设立的，依托福建农林大学经济与管理学院南太平洋岛国研究中心运作的“中国—太平洋岛国减贫与发展合作中心”；（2）由教育部批准的部级创新平台——“南太平洋岛国研究中心”；（3）既是省教育厅批准的福建省高校特色新型智库、也是与福建省农村信用合作联社共建的省级智库——“福建普惠金融研究院”。</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目前，本学位点在全省统筹建设政产学研用相结合、优势互补的，以银行类农村金融机构为主体、银行类非农村金融机构和非银行类金融机构为辅的10个“普惠金融实践创新基地”和44个“普惠金融固定观察点”。</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了拓宽学生视野与学习兴趣，本学点依托三个科研平台，以福建农林大学经济与管理学院的“新福建经管”大讲堂为载体，共组织学生参加了40多场线上讲座，讲座的主讲人为高校的知名教授及业界的工作人员，包括复旦大学张金清教授、中国社科院学部委员潘家华教授、中国科技大学吴杰教授、厦门大学朱孟楠教授、中国农业大学姜长云教授、北京师范大学的唐任伍教授、南京财经大学李庆海副教授、福建省社会科学研究基地生态文明研究中心副主任仲建兰、中国农业银行福州分行创服务品牌办公室（网点发展部）主任陈婷、福建省农信社省联社兰可雄、中国日报社主任记陈颖群等，讲座内容涵盖金融风险、脱贫、社会治理、农村发展、地缘政治等内容，既与金融专硕专业知识紧密相关，又拓展到相关的学科领域，有助于交叉人才的培养。</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了提高金融硕士的教学水平，本学位点积极配合全国金融专业学位研究生教育指导委员会的教学案例大赛和优秀硕士论文工作，截至2022年，共有6篇教学案例获得全国优秀金融硕士学位研究生教学案例，并纳入中国金融专业学位案例中心，供全国金融专业相关教师查看使用。同时，根据根据全国金融教指委委员会议讨论通过的《全国金融专业学位案例中心建设方案》的要求：入库的案例等同于B类期刊的学术论文认定，并在教指委开展的评估工作中入库的教学案例数量是加分指标之一。所以，教学案例的撰写，提高了本学位点在全国的知名度，同时，入库的6个案例中，有5个案例都有学生参与，给学生的收集资料能力，观察能力、写作能力、分析能力、合作能力提供了一个锻炼渠道。</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为了拓展学生的职业能力，鼓励和组织学生参与与本专业相关的从业资格考试和省级以上学业竞赛，2022年学生共获得7项国家及省级学业竞赛奖项。</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（四）教学方法</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积极采用案例教学方法，在《农村金融理论与实践》、《国际金融专题》、《农村金融学与普惠金融专题》、《金融工程学》、《公司金融》、《金融理论与政策》、《金融市场与金融机构》、《商业银行管理》等多门课程中使用了自编或国内金融学科顶尖高校编写的案例，其中自编案例10个(6个已入选全国金融教指委案例库）。</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同时，本学位点邀请农村金融专家与涉农金融机构高管等共同授课、开展实践教学，探索联合培养模式，加强学生对理论知识的理解，提高学生的创新与实践应用能力，培养精通农村金融与普惠金融实务的特色人才。如邀请省联社兰可雄参与《金融机构经营管理》和《农村金融与普惠金融专题》，强化同学们对金融实务的认知与学习。</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在实践环节，2022年安排26位2020级专业学位研究生和其他年级的部分学生分别到福建省农村信用合作联社、福州农商银行、泉州农商银行、</w:t>
      </w:r>
      <w:r>
        <w:rPr>
          <w:rFonts w:hint="default" w:ascii="Times New Roman" w:hAnsi="Times New Roman" w:eastAsia="仿宋_GB2312" w:cs="Times New Roman"/>
          <w:b w:val="0"/>
          <w:bCs w:val="0"/>
          <w:sz w:val="32"/>
          <w:szCs w:val="32"/>
          <w:lang w:eastAsia="zh-Hans"/>
        </w:rPr>
        <w:t>兴业银行福州分行</w:t>
      </w:r>
      <w:r>
        <w:rPr>
          <w:rFonts w:hint="default" w:ascii="Times New Roman" w:hAnsi="Times New Roman" w:eastAsia="仿宋_GB2312" w:cs="Times New Roman"/>
          <w:b w:val="0"/>
          <w:bCs w:val="0"/>
          <w:sz w:val="32"/>
          <w:szCs w:val="32"/>
        </w:rPr>
        <w:t>、国泰君安福建分公司等</w:t>
      </w:r>
      <w:r>
        <w:rPr>
          <w:rFonts w:hint="default" w:ascii="Times New Roman" w:hAnsi="Times New Roman" w:eastAsia="仿宋_GB2312" w:cs="Times New Roman"/>
          <w:b w:val="0"/>
          <w:bCs w:val="0"/>
          <w:sz w:val="32"/>
          <w:szCs w:val="32"/>
          <w:lang w:eastAsia="zh-Hans"/>
        </w:rPr>
        <w:t>福建农林大学金融学专业实践教学基地</w:t>
      </w:r>
      <w:r>
        <w:rPr>
          <w:rFonts w:hint="default" w:ascii="Times New Roman" w:hAnsi="Times New Roman" w:eastAsia="仿宋_GB2312" w:cs="Times New Roman"/>
          <w:b w:val="0"/>
          <w:bCs w:val="0"/>
          <w:sz w:val="32"/>
          <w:szCs w:val="32"/>
        </w:rPr>
        <w:t>及其他非金融企业的财务部门参加实践，培养学生的实际事务操作能力及观察能力，提高学生的职业操守和社会责任感。同时把实践单位拓宽到非金融企业，培养学生把专业知识与不同的行业需要相结合，提高学生对专业知识的综合运用能力，顺应了社会对交叉人才的需求。</w:t>
      </w:r>
    </w:p>
    <w:p>
      <w:pPr>
        <w:spacing w:line="560" w:lineRule="exact"/>
        <w:ind w:firstLine="640" w:firstLineChars="200"/>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二、师资力量</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（一）师资规模</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师资队伍方面，本学位授权点专职教学人员共28人。具有硕士生指导资格的专任教师共22人，占比78.57%，博士生导师5人。2019-2021级在校生规模78人，生师比为2.78，平均每师每年指导MF学位论文3.55篇（平均在校研究生数与硕士生导师数的比值）。</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（二）师资结构</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现有专任教师28人中，从职称结构看，教授5人，占比17.85% ，副教授17人，高级职称占比78.57%；从学历结构看，具有博士研究生学历的有22人，占比78.57%；从年龄结构看，专任教师以中青年教师为主，其中50岁以下 21人，占比75%；从行业经历看，在金融机构有兼职的8人，占比32.0%。</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（三）师德师风</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把师德师风建设作为教师队伍建设的首要任务，着力健全师德师风建设长效机制，组织教师认真学习文件精神，使教师明确认知教师职业道德规范、从教从业底线，自觉规范从教行为。加强师资队伍的日常管理，严格考核评价，将导师立德树人职责履行情况作为导师招生资格认定、导师团队评选、教师年度考核、职称（职务）评聘、岗位聘用、评优评先、绩效分配等工作的重要依据之一，评价结果不合格的导师实行“一票否决”。注重提升教师职业道德素养，要求教师以立德为根本、树人为核心，把立德树人内化到学生教育全过程。教师团队发挥党支部引领和教师党员先锋模范作用，规范师德师风，落实立德树人根本任务，积极推进“课程思政”建设。关心关爱学生，定期与学生沟通交流，对学生的学习生活问题耐心指导，引导学生健康成长。</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（四）师资专业能力</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1.育人能力进一步提升</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金融专业导师团队成果《农林高校金融专硕“品知行”人才培养模式的探索与实践》获2022年高等教育省级教学成果一等奖、校级研究生教育教学成果特等奖。</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2.科研能力进一步提高</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专业教师在2022年度共发表17篇高质量论文。如刘杰老师在2022年期间带领项目组在《International Review of Financial Analysis》和《金融学季刊》等期刊发表论文6篇、李坤明在SSCI和SCI双收录的中科院一区top期刊Climate Policy、Environmental Pollution上发表2篇学术论文；李坤明老师作为主持人获得国家社科基金一般项目1项；林丽琼老师成果《有效防范金融风险的理论与政策研究》获2021年度福建农林大学人文社科研究成果二等奖。  </w:t>
      </w:r>
    </w:p>
    <w:p>
      <w:pPr>
        <w:spacing w:line="560" w:lineRule="exact"/>
        <w:ind w:firstLine="640" w:firstLineChars="200"/>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3.社会服务取得了一定成效</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2022年专任老师共撰写的7篇决策咨询报告被省级内部刊物采纳，基中2篇研究报告获省部级领导批示；王林萍主持的宁夏粮食和物资储备局关于建设宁夏（中卫）一带一路粮食储加销项目，获得自治区领导的批示；余丽燕老师作为乡村振兴带头人“头雁”项目的导师，提供了相关的社会培训；李坤明多次为国家统计局福建调查总队、福建商学院、福建工商学院等单位提供各种形式的学术咨询与指导；郑海荣老师多次应邀为晋江农商银行、连江农商银行等金融机构举办讲座。5人次担任晋江农商银行、莆田农商银行、南安农商银行、仙游农商银行、沙县农商银行等金融机构独立董事。5位教师受聘福建省地方金融监督管理局“福建省金融工作专家”。</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4.思政教学能力进一步提高 </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积极鼓励教师参与多形式的教师培训活动，如组织全体教师参加国家智慧教育公共服务平台培训活动，深入学习习近平总书记关于教育的重要论述、学习师德师风典型人物先进事迹、学习新时代教师职业行为准则、以及新文科建设等；根据《福建省学位委员会办公室关于举办2022年全省研究生导师培训班的通知》，组织研究生导师培训；参加学校和学院组织的各种教学培训活动，如参加学校的“疫情下如何开展不同形式线上教学”线上直播培训等。</w:t>
      </w:r>
    </w:p>
    <w:p>
      <w:pPr>
        <w:spacing w:line="560" w:lineRule="exact"/>
        <w:ind w:firstLine="640" w:firstLineChars="200"/>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三、教学管理</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 xml:space="preserve">（一）机构设置 </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学校和学院设有专门的MF学位点管理机构和管理人员。学院设有专业学位教育中心对MF学位点进行宏观指导与管理，学院配备了专门的学位点管理人员，成员由中心主任（由分管副院长兼任）1人、中心副主任2人、研究生教务秘书1人和教务员3人共7人组成。学位点设有专职的研究生教务秘书和研究生教务员各1人，负责学生学籍注册、日常教学运行管理、组织培养方案论证、组织任课教师编写教学大纲、试卷最终归档等具体工作，并按学校要求安排组织实践、论文开题、中期考核、论文送审、论文答辩等具体工作。同时拥有分管研究生的学院副书记和辅导员1人，负责学生的日常生活协调帮助和心理辅导等工作。学位点还确立了学科负责人和学科秘书，负责培育学科梯队，凝练学科优势，提升学科水平，加强学科建设与管理。</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（二）制度建设</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 教学管理制度建设</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本学位点已有较为完善的研究生教学管理制度，为保证培养质量提供了有力的制度支持。</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 课程教学：《福建农林大学研究生课程教学管理办法》对任课教师资格条件、课程设置要求、教学大纲与教学计划的制定和管理、教材主要参考书与选读文献、教学内容与方式、课程安排与教学纪律、选课修课、课程考核、成绩评定及管理、教学质量评价、教学档案管理等都进行了详细的规范。</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 实践教学：《福建农林大学全日制硕士专业学位研究生专业实践管理办法（试行）》、《金融硕士全日制专业学位研究生专业实践教学工作方案（试行）》、《福建农林大学全日制硕士专业学位研究生实践基地建设及管理暂行办法》分别对研究生的专业实践教学过程和专业实践基地建设进行了规范，并对对学校和学院相关管理部门的权责进行了详细的规定。</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 毕业论文：《福建农林大学全日制专业学位研究生学位论文开题报告暂行规定》、《福建农林大学专业学位研究生中期考核办法（试行）》、《福建农林大学研究生学位论文评审工作管理办法（试行）》、《研究生论文评审工作管理实施细则》等对研究生的毕业论文从开题到送审进行全过程的监管。为进一步提高毕业论文质量，从2020级开始增设毕业论文预答辩环节、从2021级开始增设毕业论文预开题环节。</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 论文答辩及学位授予：为保证研究生学位授予质量，加强学位论文答辩管理工作，根据《福建农林大学学位授予实施细则》规定，学校每年制定并发布《福建农林大学关于规范研究生学位论文答辩程序的通知》规范学位论文答辩程序。同时为做好全国和福建省优秀学位论文评选的推荐工作，鼓励研究生刻苦钻研，努力创新，制定《福建农林大学研究生优秀学位论文评选及奖励办法（试行）》。对于符合条件的毕业生，根据《福建农林大学学位授予实施细则》授予学位。</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 教学档案管理</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学校制定了严格的教学档案管理制度。《福建农林大学研究生课程教学管理办法》规定任课教师在考试结束后必须将研究生考试试卷或课程论文及成绩登记表提交给学院，由学院安排专人整理归档，并保存至研究生毕业后三年。</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 xml:space="preserve">（三）教学评估系统 </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 教学评估系统</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建立课程教学质量评价与反馈制度，成立以学院党政领导和骨干教师为成员的教学督导组，强化教学质量过程管理，通过教师自评、专家评教、领导评教和学生评教对任课教师作为全面客观的评价，形成教师自我约束为主，制度监督为辅的教学质量保证体系，保证了各环节的教学质量。学校聘请一批有丰富教学经验的教师组成督导组，对研究生课程教学情况进行调研、督导和指导。学院每学期组织随堂听课、召开任课教师和研究生座谈会及组织研究生进行课程教学质量测评，掌握各门课程的教学情况，并把各类教学评价结果作为任课教师岗位聘任和岗位津贴的评定依据。</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 任课教师选用、评价机制</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 任课教师：任课老师的选用严格按照《福建农林大学研究生课程教学管理办法》中的要求，由具有4年以上教学、科研经验的或科研经验丰富、具有博士学位的优秀教师担任。</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校内导师：本学位点根据《福建农林大学研究生指导教师招生资格认定与管理办法（试行）》对导师资格进行认定，不定期举行研究生导师培训会。学校制定了《研究生导师手册》，规范了导师指导研究生的制度要求，对违纪违法、违反学术道德和社会公德的导师，对不履行导师职责，难以保证研究生培养质量的导师，学校将视其情节、影响程度和认识态度给予批评教育及减少招生指标、取消一年或三年的招生资格等处罚。</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校外导师：按照《福建农林大学专业学位研究生校外指导教师聘任办法》的规定，选聘有能力、有精力指导研究生专业实践的行业专家或高级管理人员作为我校的专业学位研究生校外指导教师。2022年从中国人民银行福州中心支行、福建省地方金融监督管理局、福建省农村信用社联合社、中国银行福建省分行等金融监管机构和金融机构遴选了22名符合条件的高管申请我校金融专硕研究生校外导师。</w:t>
      </w:r>
    </w:p>
    <w:p>
      <w:pPr>
        <w:spacing w:line="560" w:lineRule="exact"/>
        <w:ind w:firstLine="640" w:firstLineChars="200"/>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四、办学条件</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（一）教学设施</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 案例教学设施</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本学位点拥有专用金融案例教室两间，面积总共约200平方米，可供80名左右的研究生进行案例教学和研讨使用。</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 金融实验室设备</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学院配备专业实验室和多媒体实验室。现有农林经济管理系统模拟实验室、管理信息系统实验室（校公用）、计量经济与统计分析实验室和证券模拟实训室 4个实验室和创智金融大数据校内实训基地。仅农林经济管理系统模拟实验室总面积230平米，仪器设备总值550万元，常年开设实验项目30个，可供团队研究人员完成数据处理和分析、区域和企业的模拟决策、农业和农村统计数据查询、上市公司数据库查询等；特别是宏观经济、金融数据库以及金融工程软件系统为金融专业实验和科学研究等提供保障。</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 教学科研工作平台</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设有“中国—太平洋岛国减贫与发展合作中心”（由中华人民共和国外交部、国家乡村振兴局和福建省联合设立的，依托福建农林大学经济与管理学院南太平洋岛国研究中心运作）、国别和区域研究中心——“南太平洋岛国研究中心”（教育部批准的部级创新平台）、福建普惠金融研究院（既是省教育厅批准的福建省高校特色新型智库，也是与福建省农村信用合作联社共建的省级智库）。</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 校外教学实践基地</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金融专业硕士点拥有福建省农村信用合作联社、福州农商银行、泉州农商银行、</w:t>
      </w:r>
      <w:r>
        <w:rPr>
          <w:rFonts w:hint="default" w:ascii="Times New Roman" w:hAnsi="Times New Roman" w:eastAsia="仿宋_GB2312" w:cs="Times New Roman"/>
          <w:b w:val="0"/>
          <w:bCs w:val="0"/>
          <w:sz w:val="32"/>
          <w:szCs w:val="32"/>
          <w:lang w:eastAsia="zh-Hans"/>
        </w:rPr>
        <w:t>兴业银行福州分行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Hans"/>
        </w:rPr>
        <w:t>中国人民财产保险股份有限公司</w:t>
      </w:r>
      <w:r>
        <w:rPr>
          <w:rFonts w:hint="default" w:ascii="Times New Roman" w:hAnsi="Times New Roman" w:eastAsia="仿宋_GB2312" w:cs="Times New Roman"/>
          <w:b w:val="0"/>
          <w:bCs w:val="0"/>
          <w:sz w:val="32"/>
          <w:szCs w:val="32"/>
        </w:rPr>
        <w:t>等、涵盖银行、担保、期货、保险等金融主要行业、并以银行类农村金融机构为主体、银行类非农村金融机构和非银行类金融机构为辅的25个实践教学基地、10个“普惠金融实践创新基地”和44个“普惠金融固定观察点”，统筹产学研用，为学生提供全方位的金融实习岗位，为教师科研工作提供支持。2022年新增莆田农商银行、泰康养老股份有限公司福建分公司、中国大地财产保险福建省分公司等3个实践教学基地。</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（二）政策支持</w:t>
      </w:r>
    </w:p>
    <w:p>
      <w:pPr>
        <w:spacing w:line="56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的学生培养经费来源于学费收入和教育厅拨款，本学位点每生每年学费8000元，教育厅拨款每生每年13000元。培养经费的支出包括导师论文指导费、教育补助经费、教学维持费、专业实践费，经费别为1000元/年、3500元/年.生、330元/生和1860元/生。导师指导和专业课教学补贴由学校统一划拨。基础设施建设及仪器设备采购由学校和学院专项经费提供支持。</w:t>
      </w:r>
    </w:p>
    <w:p>
      <w:pPr>
        <w:spacing w:line="56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本学位点已形成较为完善的奖助体系，奖助力度较大、覆盖面广，主要包括学业奖学金、国家奖学金、助学金和助研助岗补贴等多种奖助措施。</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（三）图书资料</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福建农林大学图书馆馆藏纸质图书285万余册，建立了较为完备的中外文数字资源保障体系。拥有电子图书（含电子期刊）312.9万册；中外文数据库107个（外文数据库45个），包括ESI、Wiley-blackwell、JSTOR、Science Direct、SpringerLink等数据库，以及SCI、SSCI、CPCI、CSCD、CSSCI等引文索引数据库，还包括知网CNKI、万方、维普、超星、人大复印资料、龙源、EPS数据平台、中经网统计数据库、国研网、JCR期刊分区平台等。</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阅览室订阅79种专业期刊，库藏图书共计1.8万余册；拥有《中国社会科学》、《经济研究》《经济学（季刊）》《世界经济》《金融研究》、《国际金融研究》《Journal of Finance》《Journal of Finance and Economics》等国内外权威期刊，金融学专业相关的财经类书籍、期刊、研究手册等7000余册。学院电子阅览室还提供如维普数据库、学位论文数据库等多种电子文献的检索入口。</w:t>
      </w:r>
    </w:p>
    <w:p>
      <w:pPr>
        <w:spacing w:line="560" w:lineRule="exact"/>
        <w:ind w:firstLine="640" w:firstLineChars="200"/>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五、招生情况和培养效果</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本学位点2022年总共招生35人，2019级-2022级学生数共113人。生源中大部分来自金融学专业，不乏国内一流高校和省属重点高校的本科毕业生，说明本学位点的社会认可度和品牌力不断提升。</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在2022年中，研究生参加了2022年第十二届MathorCup高校数学建模挑战赛、2022年第十五届SPSSPRO杯数学中国数学建模网络挑战赛、第十九届中国研究生数学建模竞赛、2022 IGEM competition、2022年大学生英语竞赛、十二届 “挑战杯” 福建省大学生创业计划竞赛、全国大学生金融精英挑战赛乖等学业竞赛，并取得佳绩。</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在2022年中，研究生发表的论文数量与级别均有较大的提升，其中在李坤明老师指导硕士生在中科院一区top期刊Climate Policy上发表学术论文1篇、刘杰指导学生发表6篇论文均被SSCI、CSSCI收录、其他老师指导的学生论文分别《中央财经大学学报》《金融理论与实践》《中国金融》等刊物上发表。同时，学生积极向第十六届中国农村金融发展论坛会议和福建建省中青年经济发展研究会暨福建省宏观经济学会2022年年会等学术会议投稿，共有10多篇学生论文被会议录用，并有3篇论文在会议上获奖。</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除外，由本专业硕士生参与的《“天使”还是“魔鬼”？——解码兴业银行同业业务的兴衰浮沉》获得第八届全国优秀金融硕士学位研究生教学案例，并纳入中国金融专业学位案例中心。由本专业硕士生参与撰写的政府咨询报告《加大大学生返乡创业信贷支持的十条措施建议》被《社情民意信息》（闽协办信呈（2022）766号）采纳。由本专业硕士生参与撰写的政府咨询报告《多措并举加大设备更新改造专项贷款》被福建省政府办公厅《福建信息》采纳。</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2022年向21位学生授予学位，毕业生就业单位主要以金融机构为主，就业对口率和就业层次均较高，就业率达100%。</w:t>
      </w:r>
    </w:p>
    <w:p>
      <w:pPr>
        <w:spacing w:line="560" w:lineRule="exact"/>
        <w:ind w:firstLine="640" w:firstLineChars="200"/>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六、当前存在的差距</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我校金融专业硕士点于2014年获得教育部批准，经过多年多的努力，我校该学位点建设取得一定的成绩，但与高水平院校相比，我校该学位点建设起步晚，仍然存在不少问题与差距，主要有以下方面：</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（一）师资力量有待加强</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学位点在师资队伍建设上取得一定的成绩，目前拥有校内专任教师共28人，但有在实践单位兼职背景的只有4人，其中在金融机构有兼职背景的目前只有2人，大部分导师缺乏金融工作经验，实践能力较弱，这也是导致金融学硕毕业论文学术化的主要原因之一。</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（二）校外基地的利用率有待提高</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2022年共安排2020级的26位专业硕士开展实习，但大部分学生实习地点会选择家乡或福州实习，所以真正由校外实习基地提供的实习岗位不多，实习基地的利用率不高。同时虽然拥有10个“普惠金融实践创新基地”和44个“普惠金融固定观察点”，但由于前期注重数量的扩张，对利用的价值重视不足，与基地和观察点的互动性不足。</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（三）毕业论文的专业特征有待凸显</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金融专业硕士的毕业论文难以体现出专业硕士的特点，产品设计、调研报告或基于实际问题分析的政策建议报告等实践型论文较少，大部分毕业论文从选题到写作方法与学术学位的论文区别不大。 </w:t>
      </w:r>
    </w:p>
    <w:p>
      <w:pPr>
        <w:spacing w:line="560" w:lineRule="exact"/>
        <w:ind w:firstLine="640" w:firstLineChars="200"/>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七、改进计划</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（一）提高教师的实践能力</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是持续聘任校外指导教师，优化校外指导教师队伍结构，加强研究生专业实践能力的培养。二是选派1-2名专任教师到金融机构挂职锻炼，提高专任教师的实践能力。三是加大校内专任教师参加培训、进修、研讨等的投入，鼓励教师积极参与各类培训和研讨等活动。四是推进校内专任教师和校外指导教师的学习交流机制，有效提升教师队伍的理论和实践水平。</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（二）提高实践基地利用率</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是鼓励学生开展全方位的实习，除了三个月的实习期，还要鼓励学生充分每个寒暑假到金融各个行业实习，对银行、保险、证券等金融各行业有系统深入了解。二是加强与实习基地和观察点的互动往来，发挥高校的科研优势和基地、观察点的数据、实务优势，以提供决策咨询等方式加深合作，提高教师与学生对现实认识，提高金融研究成果服务经济发展的现实作用。</w:t>
      </w:r>
    </w:p>
    <w:p>
      <w:pPr>
        <w:spacing w:line="560" w:lineRule="exact"/>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（三）引导毕业论文选题</w:t>
      </w:r>
    </w:p>
    <w:p>
      <w:p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依托实践基地、专业观察点，充分利用校外导师丰富的实践经验和提供的金融案例素材，引导学生撰写产品设计、案例分析、调研报告等实践型论文，丰富本学位点实践型论文类型。</w:t>
      </w:r>
    </w:p>
    <w:p>
      <w:pPr>
        <w:spacing w:line="560" w:lineRule="exact"/>
        <w:ind w:firstLine="640" w:firstLineChars="200"/>
        <w:rPr>
          <w:rFonts w:hint="default" w:ascii="Times New Roman" w:hAnsi="Times New Roman" w:eastAsia="仿宋_GB2312" w:cs="Times New Roman"/>
          <w:b w:val="0"/>
          <w:bCs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U1OWQ3NjQ3MzVlZTFkZDMxODdhNWM1YWE2YmY1ODgifQ=="/>
  </w:docVars>
  <w:rsids>
    <w:rsidRoot w:val="00E33B4F"/>
    <w:rsid w:val="0001742D"/>
    <w:rsid w:val="00020417"/>
    <w:rsid w:val="00026F2C"/>
    <w:rsid w:val="00032F7E"/>
    <w:rsid w:val="00052934"/>
    <w:rsid w:val="00065651"/>
    <w:rsid w:val="0007152E"/>
    <w:rsid w:val="000821C8"/>
    <w:rsid w:val="00092509"/>
    <w:rsid w:val="00094198"/>
    <w:rsid w:val="000A2690"/>
    <w:rsid w:val="000B03BE"/>
    <w:rsid w:val="000B07D6"/>
    <w:rsid w:val="000B44D6"/>
    <w:rsid w:val="000B53C6"/>
    <w:rsid w:val="000C5D9D"/>
    <w:rsid w:val="000D2026"/>
    <w:rsid w:val="000D4490"/>
    <w:rsid w:val="000E0A96"/>
    <w:rsid w:val="000E2E86"/>
    <w:rsid w:val="000E7040"/>
    <w:rsid w:val="00100023"/>
    <w:rsid w:val="00111A20"/>
    <w:rsid w:val="00112141"/>
    <w:rsid w:val="00114507"/>
    <w:rsid w:val="00115E07"/>
    <w:rsid w:val="001214B8"/>
    <w:rsid w:val="00132F1E"/>
    <w:rsid w:val="00133074"/>
    <w:rsid w:val="001466FE"/>
    <w:rsid w:val="00147800"/>
    <w:rsid w:val="001651C5"/>
    <w:rsid w:val="00171DA9"/>
    <w:rsid w:val="0017746F"/>
    <w:rsid w:val="00180E9A"/>
    <w:rsid w:val="001830D1"/>
    <w:rsid w:val="00184D79"/>
    <w:rsid w:val="001A7174"/>
    <w:rsid w:val="001B067E"/>
    <w:rsid w:val="001B108A"/>
    <w:rsid w:val="001B593B"/>
    <w:rsid w:val="001C57DC"/>
    <w:rsid w:val="001C629F"/>
    <w:rsid w:val="001D36C8"/>
    <w:rsid w:val="001E17FD"/>
    <w:rsid w:val="001F7BD3"/>
    <w:rsid w:val="002247DD"/>
    <w:rsid w:val="00260054"/>
    <w:rsid w:val="002715D6"/>
    <w:rsid w:val="00273588"/>
    <w:rsid w:val="002948F0"/>
    <w:rsid w:val="002A2774"/>
    <w:rsid w:val="002B3030"/>
    <w:rsid w:val="002B6BF2"/>
    <w:rsid w:val="002C44E8"/>
    <w:rsid w:val="002D183D"/>
    <w:rsid w:val="002D76C7"/>
    <w:rsid w:val="002E215E"/>
    <w:rsid w:val="002E36FC"/>
    <w:rsid w:val="002E4FBB"/>
    <w:rsid w:val="002E62D6"/>
    <w:rsid w:val="002E6927"/>
    <w:rsid w:val="002F3CDE"/>
    <w:rsid w:val="002F4DB0"/>
    <w:rsid w:val="003123F0"/>
    <w:rsid w:val="00315CBC"/>
    <w:rsid w:val="00317504"/>
    <w:rsid w:val="00342417"/>
    <w:rsid w:val="003513D4"/>
    <w:rsid w:val="003600B2"/>
    <w:rsid w:val="00363753"/>
    <w:rsid w:val="00364B77"/>
    <w:rsid w:val="00374DF3"/>
    <w:rsid w:val="00375A39"/>
    <w:rsid w:val="00393D4A"/>
    <w:rsid w:val="003942CE"/>
    <w:rsid w:val="00394B17"/>
    <w:rsid w:val="003A1139"/>
    <w:rsid w:val="003A7EFF"/>
    <w:rsid w:val="003B1DA3"/>
    <w:rsid w:val="003C0014"/>
    <w:rsid w:val="003C047C"/>
    <w:rsid w:val="003D452E"/>
    <w:rsid w:val="0040017E"/>
    <w:rsid w:val="004170FF"/>
    <w:rsid w:val="00422F86"/>
    <w:rsid w:val="00431C5A"/>
    <w:rsid w:val="00433919"/>
    <w:rsid w:val="00441FD0"/>
    <w:rsid w:val="00446FFC"/>
    <w:rsid w:val="00454C3F"/>
    <w:rsid w:val="00463C37"/>
    <w:rsid w:val="004709DD"/>
    <w:rsid w:val="00494C44"/>
    <w:rsid w:val="004A5450"/>
    <w:rsid w:val="004A7124"/>
    <w:rsid w:val="004C31A2"/>
    <w:rsid w:val="004E450C"/>
    <w:rsid w:val="004E59E9"/>
    <w:rsid w:val="004E6526"/>
    <w:rsid w:val="004F6C09"/>
    <w:rsid w:val="00514550"/>
    <w:rsid w:val="005223B0"/>
    <w:rsid w:val="00546A79"/>
    <w:rsid w:val="00560BD1"/>
    <w:rsid w:val="005649E3"/>
    <w:rsid w:val="00594044"/>
    <w:rsid w:val="005950FC"/>
    <w:rsid w:val="005A1EC9"/>
    <w:rsid w:val="005A4216"/>
    <w:rsid w:val="005B12A8"/>
    <w:rsid w:val="005C428A"/>
    <w:rsid w:val="005D2915"/>
    <w:rsid w:val="005E4465"/>
    <w:rsid w:val="005E765D"/>
    <w:rsid w:val="005F21ED"/>
    <w:rsid w:val="006103C7"/>
    <w:rsid w:val="00615EB7"/>
    <w:rsid w:val="00616ABC"/>
    <w:rsid w:val="0062783F"/>
    <w:rsid w:val="00651FAE"/>
    <w:rsid w:val="00654094"/>
    <w:rsid w:val="00666D8C"/>
    <w:rsid w:val="00680F49"/>
    <w:rsid w:val="006849DD"/>
    <w:rsid w:val="0069541A"/>
    <w:rsid w:val="006A751D"/>
    <w:rsid w:val="006C038D"/>
    <w:rsid w:val="006D68A5"/>
    <w:rsid w:val="006D7F64"/>
    <w:rsid w:val="006F7757"/>
    <w:rsid w:val="00701ABF"/>
    <w:rsid w:val="00711D30"/>
    <w:rsid w:val="00712E38"/>
    <w:rsid w:val="00717D8A"/>
    <w:rsid w:val="00731B28"/>
    <w:rsid w:val="007363B4"/>
    <w:rsid w:val="0075182B"/>
    <w:rsid w:val="00756ED4"/>
    <w:rsid w:val="007626EF"/>
    <w:rsid w:val="0076508F"/>
    <w:rsid w:val="0077076C"/>
    <w:rsid w:val="00773774"/>
    <w:rsid w:val="00773D3A"/>
    <w:rsid w:val="007819C0"/>
    <w:rsid w:val="007909E5"/>
    <w:rsid w:val="007932A2"/>
    <w:rsid w:val="007948A6"/>
    <w:rsid w:val="007A27B5"/>
    <w:rsid w:val="007A7E0E"/>
    <w:rsid w:val="007B28CF"/>
    <w:rsid w:val="007C311A"/>
    <w:rsid w:val="007D22CF"/>
    <w:rsid w:val="00802F67"/>
    <w:rsid w:val="00805790"/>
    <w:rsid w:val="008101E4"/>
    <w:rsid w:val="00831B2F"/>
    <w:rsid w:val="00835B0A"/>
    <w:rsid w:val="008466C5"/>
    <w:rsid w:val="008513FA"/>
    <w:rsid w:val="00855376"/>
    <w:rsid w:val="00866B00"/>
    <w:rsid w:val="00867AFB"/>
    <w:rsid w:val="00872E96"/>
    <w:rsid w:val="008779EE"/>
    <w:rsid w:val="0088391E"/>
    <w:rsid w:val="00891A3E"/>
    <w:rsid w:val="0089733E"/>
    <w:rsid w:val="00897692"/>
    <w:rsid w:val="008A0C0B"/>
    <w:rsid w:val="008B08B8"/>
    <w:rsid w:val="008B2153"/>
    <w:rsid w:val="008C51CE"/>
    <w:rsid w:val="008F26F8"/>
    <w:rsid w:val="0090227C"/>
    <w:rsid w:val="009037D6"/>
    <w:rsid w:val="009207B2"/>
    <w:rsid w:val="00920D31"/>
    <w:rsid w:val="00932574"/>
    <w:rsid w:val="00940003"/>
    <w:rsid w:val="00943D03"/>
    <w:rsid w:val="00946C61"/>
    <w:rsid w:val="00955CF9"/>
    <w:rsid w:val="009651AD"/>
    <w:rsid w:val="00966DF8"/>
    <w:rsid w:val="00974E64"/>
    <w:rsid w:val="00974F95"/>
    <w:rsid w:val="0098321A"/>
    <w:rsid w:val="009A40CC"/>
    <w:rsid w:val="009E3EC3"/>
    <w:rsid w:val="009E7D67"/>
    <w:rsid w:val="009F54C1"/>
    <w:rsid w:val="009F564E"/>
    <w:rsid w:val="00A02DDA"/>
    <w:rsid w:val="00A10F9C"/>
    <w:rsid w:val="00A10FB3"/>
    <w:rsid w:val="00A1222A"/>
    <w:rsid w:val="00A13969"/>
    <w:rsid w:val="00A14AA2"/>
    <w:rsid w:val="00A32181"/>
    <w:rsid w:val="00A35F0C"/>
    <w:rsid w:val="00A41773"/>
    <w:rsid w:val="00A54FE2"/>
    <w:rsid w:val="00A569F3"/>
    <w:rsid w:val="00A626F3"/>
    <w:rsid w:val="00A774C8"/>
    <w:rsid w:val="00A81BE4"/>
    <w:rsid w:val="00A851D7"/>
    <w:rsid w:val="00AB7864"/>
    <w:rsid w:val="00AC5357"/>
    <w:rsid w:val="00AC6942"/>
    <w:rsid w:val="00AD0119"/>
    <w:rsid w:val="00AE6E18"/>
    <w:rsid w:val="00B00F57"/>
    <w:rsid w:val="00B229B7"/>
    <w:rsid w:val="00B57563"/>
    <w:rsid w:val="00B60CCA"/>
    <w:rsid w:val="00B65245"/>
    <w:rsid w:val="00B752F0"/>
    <w:rsid w:val="00B86597"/>
    <w:rsid w:val="00B922C0"/>
    <w:rsid w:val="00BA3BDE"/>
    <w:rsid w:val="00BA469D"/>
    <w:rsid w:val="00BB210E"/>
    <w:rsid w:val="00BB6BFF"/>
    <w:rsid w:val="00BC5733"/>
    <w:rsid w:val="00BF36D1"/>
    <w:rsid w:val="00BF473A"/>
    <w:rsid w:val="00BF5195"/>
    <w:rsid w:val="00C033CB"/>
    <w:rsid w:val="00C12C3C"/>
    <w:rsid w:val="00C54F94"/>
    <w:rsid w:val="00C60237"/>
    <w:rsid w:val="00C64927"/>
    <w:rsid w:val="00C6573A"/>
    <w:rsid w:val="00C77DAC"/>
    <w:rsid w:val="00C97E5D"/>
    <w:rsid w:val="00CA2D30"/>
    <w:rsid w:val="00CA7C9F"/>
    <w:rsid w:val="00CB28E4"/>
    <w:rsid w:val="00CB2E97"/>
    <w:rsid w:val="00CD34E5"/>
    <w:rsid w:val="00CD404D"/>
    <w:rsid w:val="00CD7EAF"/>
    <w:rsid w:val="00CE0FF0"/>
    <w:rsid w:val="00CE470D"/>
    <w:rsid w:val="00CE504D"/>
    <w:rsid w:val="00CE66DA"/>
    <w:rsid w:val="00CF157F"/>
    <w:rsid w:val="00CF7FB7"/>
    <w:rsid w:val="00D131E4"/>
    <w:rsid w:val="00D31C00"/>
    <w:rsid w:val="00D33070"/>
    <w:rsid w:val="00D62C6B"/>
    <w:rsid w:val="00D96D97"/>
    <w:rsid w:val="00DA3861"/>
    <w:rsid w:val="00DA47A4"/>
    <w:rsid w:val="00DD0BFB"/>
    <w:rsid w:val="00E1275E"/>
    <w:rsid w:val="00E24783"/>
    <w:rsid w:val="00E33B4F"/>
    <w:rsid w:val="00E44D66"/>
    <w:rsid w:val="00E44DE3"/>
    <w:rsid w:val="00E53334"/>
    <w:rsid w:val="00E74A86"/>
    <w:rsid w:val="00E7768C"/>
    <w:rsid w:val="00E87E39"/>
    <w:rsid w:val="00E922E3"/>
    <w:rsid w:val="00E96999"/>
    <w:rsid w:val="00EA14D9"/>
    <w:rsid w:val="00EB781C"/>
    <w:rsid w:val="00EC374A"/>
    <w:rsid w:val="00EE2663"/>
    <w:rsid w:val="00F06D9E"/>
    <w:rsid w:val="00F06F42"/>
    <w:rsid w:val="00F21A7C"/>
    <w:rsid w:val="00F23602"/>
    <w:rsid w:val="00F277BA"/>
    <w:rsid w:val="00F5274F"/>
    <w:rsid w:val="00F61F25"/>
    <w:rsid w:val="00F621F9"/>
    <w:rsid w:val="00F86395"/>
    <w:rsid w:val="00FA6020"/>
    <w:rsid w:val="00FD2DF6"/>
    <w:rsid w:val="00FD3B7C"/>
    <w:rsid w:val="00FD437F"/>
    <w:rsid w:val="00FE4EA1"/>
    <w:rsid w:val="00FF177D"/>
    <w:rsid w:val="00FF28C5"/>
    <w:rsid w:val="06415E93"/>
    <w:rsid w:val="074E11CD"/>
    <w:rsid w:val="07A75B9E"/>
    <w:rsid w:val="07DF16B0"/>
    <w:rsid w:val="0AA777D6"/>
    <w:rsid w:val="0C0E7E79"/>
    <w:rsid w:val="0DEA4C69"/>
    <w:rsid w:val="0E4919B8"/>
    <w:rsid w:val="0FC70FBF"/>
    <w:rsid w:val="116577F2"/>
    <w:rsid w:val="13257C68"/>
    <w:rsid w:val="13433E96"/>
    <w:rsid w:val="15A304F2"/>
    <w:rsid w:val="18117C9C"/>
    <w:rsid w:val="1F2C5A23"/>
    <w:rsid w:val="20270D60"/>
    <w:rsid w:val="20E52786"/>
    <w:rsid w:val="21A67760"/>
    <w:rsid w:val="21A74B52"/>
    <w:rsid w:val="23EE1F21"/>
    <w:rsid w:val="25CD5C03"/>
    <w:rsid w:val="265F0C25"/>
    <w:rsid w:val="285043F2"/>
    <w:rsid w:val="290F6904"/>
    <w:rsid w:val="295342C5"/>
    <w:rsid w:val="2B643CDB"/>
    <w:rsid w:val="2BDC69B6"/>
    <w:rsid w:val="30417C62"/>
    <w:rsid w:val="3376367E"/>
    <w:rsid w:val="33D44E74"/>
    <w:rsid w:val="34B00BC9"/>
    <w:rsid w:val="37093829"/>
    <w:rsid w:val="372365F6"/>
    <w:rsid w:val="37887BDC"/>
    <w:rsid w:val="382D2531"/>
    <w:rsid w:val="39C2541D"/>
    <w:rsid w:val="3B041E40"/>
    <w:rsid w:val="3DD570CC"/>
    <w:rsid w:val="3E554C3F"/>
    <w:rsid w:val="412D10FA"/>
    <w:rsid w:val="42124B20"/>
    <w:rsid w:val="421B33FA"/>
    <w:rsid w:val="425A1B52"/>
    <w:rsid w:val="44705C7F"/>
    <w:rsid w:val="447D6B8A"/>
    <w:rsid w:val="475C4160"/>
    <w:rsid w:val="51030403"/>
    <w:rsid w:val="518137D2"/>
    <w:rsid w:val="521B0897"/>
    <w:rsid w:val="565C2507"/>
    <w:rsid w:val="57E83798"/>
    <w:rsid w:val="58132187"/>
    <w:rsid w:val="5DA45680"/>
    <w:rsid w:val="5EA91840"/>
    <w:rsid w:val="616B6949"/>
    <w:rsid w:val="61706E67"/>
    <w:rsid w:val="62650A8A"/>
    <w:rsid w:val="63787693"/>
    <w:rsid w:val="641643DB"/>
    <w:rsid w:val="659050F4"/>
    <w:rsid w:val="69160BBF"/>
    <w:rsid w:val="6DF42BCE"/>
    <w:rsid w:val="70A9461F"/>
    <w:rsid w:val="75A74162"/>
    <w:rsid w:val="7B6A53FD"/>
    <w:rsid w:val="7C531873"/>
    <w:rsid w:val="7D1312C2"/>
    <w:rsid w:val="7DA06E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locked/>
    <w:uiPriority w:val="0"/>
    <w:pPr>
      <w:keepNext/>
      <w:keepLines/>
      <w:adjustRightInd w:val="0"/>
      <w:snapToGrid w:val="0"/>
      <w:spacing w:before="50" w:beforeLines="50" w:after="50" w:afterLines="50"/>
      <w:ind w:firstLine="200" w:firstLineChars="200"/>
      <w:outlineLvl w:val="1"/>
    </w:pPr>
    <w:rPr>
      <w:rFonts w:ascii="等线 Light" w:hAnsi="等线 Light" w:eastAsia="黑体"/>
      <w:bCs/>
      <w:sz w:val="32"/>
      <w:szCs w:val="32"/>
    </w:rPr>
  </w:style>
  <w:style w:type="paragraph" w:styleId="5">
    <w:name w:val="heading 3"/>
    <w:basedOn w:val="1"/>
    <w:next w:val="1"/>
    <w:qFormat/>
    <w:locked/>
    <w:uiPriority w:val="0"/>
    <w:pPr>
      <w:keepNext/>
      <w:keepLines/>
      <w:spacing w:before="50" w:beforeLines="50" w:after="50" w:afterLines="50"/>
      <w:outlineLvl w:val="2"/>
    </w:pPr>
    <w:rPr>
      <w:rFonts w:eastAsia="方正仿宋简体"/>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340" w:lineRule="exact"/>
      <w:ind w:firstLine="480" w:firstLineChars="200"/>
    </w:pPr>
    <w:rPr>
      <w:sz w:val="24"/>
    </w:rPr>
  </w:style>
  <w:style w:type="paragraph" w:styleId="6">
    <w:name w:val="annotation text"/>
    <w:basedOn w:val="1"/>
    <w:link w:val="18"/>
    <w:semiHidden/>
    <w:qFormat/>
    <w:uiPriority w:val="99"/>
    <w:pPr>
      <w:jc w:val="left"/>
    </w:pPr>
  </w:style>
  <w:style w:type="paragraph" w:styleId="7">
    <w:name w:val="Balloon Text"/>
    <w:basedOn w:val="1"/>
    <w:link w:val="20"/>
    <w:semiHidden/>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9"/>
    <w:semiHidden/>
    <w:qFormat/>
    <w:uiPriority w:val="99"/>
    <w:rPr>
      <w:b/>
      <w:bC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styleId="15">
    <w:name w:val="annotation reference"/>
    <w:semiHidden/>
    <w:qFormat/>
    <w:uiPriority w:val="99"/>
    <w:rPr>
      <w:rFonts w:cs="Times New Roman"/>
      <w:sz w:val="21"/>
      <w:szCs w:val="21"/>
    </w:rPr>
  </w:style>
  <w:style w:type="character" w:customStyle="1" w:styleId="16">
    <w:name w:val="页脚 字符"/>
    <w:link w:val="8"/>
    <w:qFormat/>
    <w:locked/>
    <w:uiPriority w:val="99"/>
    <w:rPr>
      <w:rFonts w:cs="Times New Roman"/>
      <w:sz w:val="18"/>
      <w:szCs w:val="18"/>
    </w:rPr>
  </w:style>
  <w:style w:type="character" w:customStyle="1" w:styleId="17">
    <w:name w:val="页眉 字符"/>
    <w:link w:val="9"/>
    <w:qFormat/>
    <w:locked/>
    <w:uiPriority w:val="99"/>
    <w:rPr>
      <w:rFonts w:cs="Times New Roman"/>
      <w:sz w:val="18"/>
      <w:szCs w:val="18"/>
    </w:rPr>
  </w:style>
  <w:style w:type="character" w:customStyle="1" w:styleId="18">
    <w:name w:val="批注文字 字符"/>
    <w:link w:val="6"/>
    <w:semiHidden/>
    <w:qFormat/>
    <w:locked/>
    <w:uiPriority w:val="99"/>
    <w:rPr>
      <w:rFonts w:ascii="Calibri" w:hAnsi="Calibri" w:eastAsia="宋体" w:cs="Times New Roman"/>
      <w:kern w:val="2"/>
      <w:sz w:val="22"/>
      <w:szCs w:val="22"/>
    </w:rPr>
  </w:style>
  <w:style w:type="character" w:customStyle="1" w:styleId="19">
    <w:name w:val="批注主题 字符"/>
    <w:link w:val="10"/>
    <w:semiHidden/>
    <w:qFormat/>
    <w:locked/>
    <w:uiPriority w:val="99"/>
    <w:rPr>
      <w:rFonts w:ascii="Calibri" w:hAnsi="Calibri" w:eastAsia="宋体" w:cs="Times New Roman"/>
      <w:b/>
      <w:bCs/>
      <w:kern w:val="2"/>
      <w:sz w:val="22"/>
      <w:szCs w:val="22"/>
    </w:rPr>
  </w:style>
  <w:style w:type="character" w:customStyle="1" w:styleId="20">
    <w:name w:val="批注框文本 字符"/>
    <w:link w:val="7"/>
    <w:semiHidden/>
    <w:qFormat/>
    <w:locked/>
    <w:uiPriority w:val="99"/>
    <w:rPr>
      <w:rFonts w:ascii="Calibri" w:hAnsi="Calibri" w:eastAsia="宋体" w:cs="Times New Roman"/>
      <w:kern w:val="2"/>
      <w:sz w:val="18"/>
      <w:szCs w:val="18"/>
    </w:rPr>
  </w:style>
  <w:style w:type="paragraph" w:customStyle="1" w:styleId="21">
    <w:name w:val="列表段落1"/>
    <w:basedOn w:val="1"/>
    <w:qFormat/>
    <w:uiPriority w:val="99"/>
    <w:pPr>
      <w:ind w:firstLine="420" w:firstLineChars="200"/>
    </w:pPr>
  </w:style>
  <w:style w:type="character" w:customStyle="1" w:styleId="22">
    <w:name w:val="ui-area-common-c-i-l"/>
    <w:basedOn w:val="13"/>
    <w:qFormat/>
    <w:uiPriority w:val="0"/>
  </w:style>
  <w:style w:type="character" w:customStyle="1" w:styleId="23">
    <w:name w:val="ui-area-common-c-i-l1"/>
    <w:basedOn w:val="13"/>
    <w:qFormat/>
    <w:uiPriority w:val="0"/>
    <w:rPr>
      <w:color w:val="F30213"/>
    </w:rPr>
  </w:style>
  <w:style w:type="character" w:customStyle="1" w:styleId="24">
    <w:name w:val="ui-area-common-c-i-r"/>
    <w:basedOn w:val="13"/>
    <w:qFormat/>
    <w:uiPriority w:val="0"/>
  </w:style>
  <w:style w:type="character" w:customStyle="1" w:styleId="25">
    <w:name w:val="ui-area-common-c-i-r1"/>
    <w:basedOn w:val="13"/>
    <w:qFormat/>
    <w:uiPriority w:val="0"/>
    <w:rPr>
      <w:color w:val="F3021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9198</Words>
  <Characters>9707</Characters>
  <Lines>72</Lines>
  <Paragraphs>20</Paragraphs>
  <TotalTime>30</TotalTime>
  <ScaleCrop>false</ScaleCrop>
  <LinksUpToDate>false</LinksUpToDate>
  <CharactersWithSpaces>9821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2018-05-16T01:29:00Z</dcterms:created>
  <dc:creator>lenovo</dc:creator>
  <cp:lastModifiedBy>QSL</cp:lastModifiedBy>
  <dcterms:modified xsi:type="dcterms:W3CDTF">2023-04-06T01:29:56Z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72CCC8F530594909961188D439B13091</vt:lpwstr>
  </property>
  <property fmtid="{D5CDD505-2E9C-101B-9397-08002B2CF9AE}" pid="5" name="commondata">
    <vt:lpwstr>eyJoZGlkIjoiYjQyMmRmZGQ2ZTZiNGYwNDk5ZTViNjJjYTRkZjIzOWYifQ==</vt:lpwstr>
  </property>
</Properties>
</file>