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both"/>
        <w:rPr>
          <w:rFonts w:hint="default" w:ascii="Times New Roman" w:hAnsi="Times New Roman" w:eastAsia="宋体" w:cs="Times New Roman"/>
          <w:b w:val="0"/>
          <w:bCs/>
          <w:color w:val="auto"/>
          <w:lang w:eastAsia="zh-CN"/>
        </w:rPr>
      </w:pPr>
    </w:p>
    <w:p>
      <w:pPr>
        <w:spacing w:line="360" w:lineRule="auto"/>
        <w:jc w:val="both"/>
        <w:rPr>
          <w:rFonts w:hint="default" w:ascii="Times New Roman" w:hAnsi="Times New Roman" w:cs="Times New Roman"/>
          <w:b w:val="0"/>
          <w:bCs/>
          <w:color w:val="auto"/>
        </w:rPr>
      </w:pPr>
    </w:p>
    <w:p>
      <w:pPr>
        <w:spacing w:before="226" w:line="360" w:lineRule="auto"/>
        <w:ind w:firstLine="514" w:firstLineChars="100"/>
        <w:jc w:val="both"/>
        <w:rPr>
          <w:rFonts w:hint="default" w:ascii="Times New Roman" w:hAnsi="Times New Roman" w:eastAsia="Arial Unicode MS" w:cs="Times New Roman"/>
          <w:b w:val="0"/>
          <w:bCs/>
          <w:color w:val="auto"/>
          <w:sz w:val="52"/>
          <w:szCs w:val="52"/>
        </w:rPr>
      </w:pPr>
      <w:r>
        <w:rPr>
          <w:rFonts w:hint="default" w:ascii="Times New Roman" w:hAnsi="Times New Roman" w:eastAsia="Arial Unicode MS" w:cs="Times New Roman"/>
          <w:b w:val="0"/>
          <w:bCs/>
          <w:color w:val="auto"/>
          <w:spacing w:val="-3"/>
          <w:sz w:val="52"/>
          <w:szCs w:val="52"/>
          <w14:textOutline w14:w="6604" w14:cap="flat" w14:cmpd="sng" w14:algn="ctr">
            <w14:solidFill>
              <w14:srgbClr w14:val="000000"/>
            </w14:solidFill>
            <w14:prstDash w14:val="solid"/>
            <w14:miter w14:val="0"/>
          </w14:textOutline>
        </w:rPr>
        <w:t>2022年学位授权点建设年度报告</w:t>
      </w:r>
    </w:p>
    <w:p>
      <w:pPr>
        <w:jc w:val="both"/>
        <w:rPr>
          <w:rFonts w:hint="default" w:ascii="Times New Roman" w:hAnsi="Times New Roman" w:cs="Times New Roman" w:eastAsiaTheme="minorEastAsia"/>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r>
        <w:rPr>
          <w:rFonts w:hint="default" w:ascii="Times New Roman" w:hAnsi="Times New Roman" w:cs="Times New Roman"/>
          <w:b w:val="0"/>
          <w:bCs/>
          <w:color w:val="auto"/>
        </w:rPr>
        <w:drawing>
          <wp:anchor distT="0" distB="0" distL="0" distR="0" simplePos="0" relativeHeight="251661312" behindDoc="0" locked="0" layoutInCell="1" allowOverlap="1">
            <wp:simplePos x="0" y="0"/>
            <wp:positionH relativeFrom="column">
              <wp:posOffset>2401570</wp:posOffset>
            </wp:positionH>
            <wp:positionV relativeFrom="paragraph">
              <wp:posOffset>160655</wp:posOffset>
            </wp:positionV>
            <wp:extent cx="6350" cy="1081405"/>
            <wp:effectExtent l="0" t="0" r="12700" b="44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350" cy="1081278"/>
                    </a:xfrm>
                    <a:prstGeom prst="rect">
                      <a:avLst/>
                    </a:prstGeom>
                  </pic:spPr>
                </pic:pic>
              </a:graphicData>
            </a:graphic>
          </wp:anchor>
        </w:drawing>
      </w:r>
    </w:p>
    <w:p>
      <w:pPr>
        <w:jc w:val="both"/>
        <w:rPr>
          <w:rFonts w:hint="default" w:ascii="Times New Roman" w:hAnsi="Times New Roman" w:cs="Times New Roman"/>
          <w:b w:val="0"/>
          <w:bCs/>
          <w:color w:val="auto"/>
        </w:rPr>
      </w:pPr>
    </w:p>
    <w:p>
      <w:pPr>
        <w:spacing w:before="109"/>
        <w:ind w:left="1782" w:right="1656" w:firstLine="2134"/>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22"/>
          <w:sz w:val="30"/>
          <w:szCs w:val="30"/>
          <w14:textOutline w14:w="3810" w14:cap="flat" w14:cmpd="sng" w14:algn="ctr">
            <w14:solidFill>
              <w14:srgbClr w14:val="000000"/>
            </w14:solidFill>
            <w14:prstDash w14:val="solid"/>
            <w14:miter w14:val="0"/>
          </w14:textOutline>
        </w:rPr>
        <w:t>名称： 福建农林大学</w:t>
      </w:r>
      <w:r>
        <w:rPr>
          <w:rFonts w:hint="default" w:ascii="Times New Roman" w:hAnsi="Times New Roman" w:eastAsia="华文楷体" w:cs="Times New Roman"/>
          <w:b w:val="0"/>
          <w:bCs/>
          <w:color w:val="auto"/>
          <w:sz w:val="30"/>
          <w:szCs w:val="30"/>
        </w:rPr>
        <w:t xml:space="preserve"> </w:t>
      </w:r>
    </w:p>
    <w:p>
      <w:pPr>
        <w:spacing w:before="109"/>
        <w:ind w:right="1656" w:firstLine="1670" w:firstLineChars="500"/>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17"/>
          <w:sz w:val="30"/>
          <w:szCs w:val="30"/>
          <w14:textOutline w14:w="3810" w14:cap="flat" w14:cmpd="sng" w14:algn="ctr">
            <w14:solidFill>
              <w14:srgbClr w14:val="000000"/>
            </w14:solidFill>
            <w14:prstDash w14:val="solid"/>
            <w14:miter w14:val="0"/>
          </w14:textOutline>
        </w:rPr>
        <w:t>学位授予单位</w:t>
      </w:r>
      <w:r>
        <w:rPr>
          <w:rFonts w:hint="default" w:ascii="Times New Roman" w:hAnsi="Times New Roman" w:eastAsia="华文楷体" w:cs="Times New Roman"/>
          <w:b w:val="0"/>
          <w:bCs/>
          <w:strike/>
          <w:color w:val="auto"/>
          <w:sz w:val="30"/>
          <w:szCs w:val="30"/>
        </w:rPr>
        <w:t xml:space="preserve">                    </w:t>
      </w:r>
    </w:p>
    <w:p>
      <w:pPr>
        <w:spacing w:before="152"/>
        <w:ind w:firstLine="3914"/>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1"/>
          <w:sz w:val="30"/>
          <w:szCs w:val="30"/>
          <w14:textOutline w14:w="3810" w14:cap="flat" w14:cmpd="sng" w14:algn="ctr">
            <w14:solidFill>
              <w14:srgbClr w14:val="000000"/>
            </w14:solidFill>
            <w14:prstDash w14:val="solid"/>
            <w14:miter w14:val="0"/>
          </w14:textOutline>
        </w:rPr>
        <w:t>代码：10389</w:t>
      </w: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spacing w:before="109"/>
        <w:ind w:firstLine="1704" w:firstLineChars="600"/>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8"/>
          <w:sz w:val="30"/>
          <w:szCs w:val="30"/>
          <w14:textOutline w14:w="3810" w14:cap="flat" w14:cmpd="sng" w14:algn="ctr">
            <w14:solidFill>
              <w14:srgbClr w14:val="000000"/>
            </w14:solidFill>
            <w14:prstDash w14:val="solid"/>
            <w14:miter w14:val="0"/>
          </w14:textOutline>
        </w:rPr>
        <w:t>授  权  学  科</w:t>
      </w:r>
      <w:r>
        <w:rPr>
          <w:rFonts w:hint="default" w:ascii="Times New Roman" w:hAnsi="Times New Roman" w:eastAsia="华文楷体" w:cs="Times New Roman"/>
          <w:b w:val="0"/>
          <w:bCs/>
          <w:color w:val="auto"/>
          <w:spacing w:val="1"/>
          <w:sz w:val="30"/>
          <w:szCs w:val="30"/>
        </w:rPr>
        <w:t xml:space="preserve">  </w:t>
      </w:r>
      <w:r>
        <w:rPr>
          <w:rFonts w:hint="default" w:ascii="Times New Roman" w:hAnsi="Times New Roman" w:eastAsia="华文楷体" w:cs="Times New Roman"/>
          <w:b w:val="0"/>
          <w:bCs/>
          <w:color w:val="auto"/>
          <w:spacing w:val="-8"/>
          <w:sz w:val="30"/>
          <w:szCs w:val="30"/>
          <w14:textOutline w14:w="3810" w14:cap="flat" w14:cmpd="sng" w14:algn="ctr">
            <w14:solidFill>
              <w14:srgbClr w14:val="000000"/>
            </w14:solidFill>
            <w14:prstDash w14:val="solid"/>
            <w14:miter w14:val="0"/>
          </w14:textOutline>
        </w:rPr>
        <w:t>名称：生物学</w:t>
      </w:r>
    </w:p>
    <w:p>
      <w:pPr>
        <w:spacing w:before="228"/>
        <w:ind w:firstLine="3791"/>
        <w:jc w:val="both"/>
        <w:rPr>
          <w:rFonts w:hint="default" w:ascii="Times New Roman" w:hAnsi="Times New Roman" w:cs="Times New Roman"/>
          <w:b w:val="0"/>
          <w:bCs/>
          <w:color w:val="auto"/>
        </w:rPr>
      </w:pPr>
      <w:r>
        <w:rPr>
          <w:rFonts w:hint="default" w:ascii="Times New Roman" w:hAnsi="Times New Roman" w:cs="Times New Roman"/>
          <w:b w:val="0"/>
          <w:bCs/>
          <w:color w:val="auto"/>
        </w:rPr>
        <w:drawing>
          <wp:anchor distT="0" distB="0" distL="0" distR="0" simplePos="0" relativeHeight="251660288" behindDoc="0" locked="0" layoutInCell="1" allowOverlap="1">
            <wp:simplePos x="0" y="0"/>
            <wp:positionH relativeFrom="column">
              <wp:posOffset>2407285</wp:posOffset>
            </wp:positionH>
            <wp:positionV relativeFrom="paragraph">
              <wp:posOffset>-392430</wp:posOffset>
            </wp:positionV>
            <wp:extent cx="6350" cy="1081405"/>
            <wp:effectExtent l="0" t="0" r="1270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350" cy="1081277"/>
                    </a:xfrm>
                    <a:prstGeom prst="rect">
                      <a:avLst/>
                    </a:prstGeom>
                  </pic:spPr>
                </pic:pic>
              </a:graphicData>
            </a:graphic>
          </wp:anchor>
        </w:drawing>
      </w:r>
      <w:r>
        <w:rPr>
          <w:rFonts w:hint="default" w:ascii="Times New Roman" w:hAnsi="Times New Roman" w:cs="Times New Roman"/>
          <w:b w:val="0"/>
          <w:bCs/>
          <w:color w:val="auto"/>
        </w:rPr>
        <w:drawing>
          <wp:inline distT="0" distB="0" distL="0" distR="0">
            <wp:extent cx="1831340" cy="57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1831847" cy="6095"/>
                    </a:xfrm>
                    <a:prstGeom prst="rect">
                      <a:avLst/>
                    </a:prstGeom>
                  </pic:spPr>
                </pic:pic>
              </a:graphicData>
            </a:graphic>
          </wp:inline>
        </w:drawing>
      </w:r>
    </w:p>
    <w:p>
      <w:pPr>
        <w:spacing w:before="212"/>
        <w:ind w:firstLine="1780"/>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13"/>
          <w:sz w:val="30"/>
          <w:szCs w:val="30"/>
          <w14:textOutline w14:w="3810" w14:cap="flat" w14:cmpd="sng" w14:algn="ctr">
            <w14:solidFill>
              <w14:srgbClr w14:val="000000"/>
            </w14:solidFill>
            <w14:prstDash w14:val="solid"/>
            <w14:miter w14:val="0"/>
          </w14:textOutline>
        </w:rPr>
        <w:t xml:space="preserve">（ </w:t>
      </w:r>
      <w:r>
        <w:rPr>
          <w:rFonts w:hint="default" w:ascii="Times New Roman" w:hAnsi="Times New Roman" w:eastAsia="华文楷体" w:cs="Times New Roman"/>
          <w:b w:val="0"/>
          <w:bCs/>
          <w:color w:val="auto"/>
          <w:spacing w:val="21"/>
          <w:sz w:val="30"/>
          <w:szCs w:val="30"/>
        </w:rPr>
        <w:t xml:space="preserve"> </w:t>
      </w:r>
      <w:r>
        <w:rPr>
          <w:rFonts w:hint="default" w:ascii="Times New Roman" w:hAnsi="Times New Roman" w:eastAsia="华文楷体" w:cs="Times New Roman"/>
          <w:b w:val="0"/>
          <w:bCs/>
          <w:color w:val="auto"/>
          <w:spacing w:val="-13"/>
          <w:sz w:val="30"/>
          <w:szCs w:val="30"/>
          <w14:textOutline w14:w="3810" w14:cap="flat" w14:cmpd="sng" w14:algn="ctr">
            <w14:solidFill>
              <w14:srgbClr w14:val="000000"/>
            </w14:solidFill>
            <w14:prstDash w14:val="solid"/>
            <w14:miter w14:val="0"/>
          </w14:textOutline>
        </w:rPr>
        <w:t>类  别  ）  代码：0710</w:t>
      </w: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spacing w:before="110"/>
        <w:ind w:firstLine="3943"/>
        <w:jc w:val="both"/>
        <w:rPr>
          <w:rFonts w:hint="default" w:ascii="Times New Roman" w:hAnsi="Times New Roman" w:eastAsia="华文楷体" w:cs="Times New Roman"/>
          <w:b w:val="0"/>
          <w:bCs/>
          <w:color w:val="auto"/>
          <w:sz w:val="30"/>
          <w:szCs w:val="30"/>
        </w:rPr>
      </w:pPr>
      <w:r>
        <w:rPr>
          <w:rFonts w:hint="default" w:ascii="Times New Roman" w:hAnsi="Times New Roman" w:cs="Times New Roman"/>
          <w:b w:val="0"/>
          <w:bCs/>
          <w:color w:val="auto"/>
        </w:rPr>
        <w:drawing>
          <wp:anchor distT="0" distB="0" distL="0" distR="0" simplePos="0" relativeHeight="251659264" behindDoc="0" locked="0" layoutInCell="1" allowOverlap="1">
            <wp:simplePos x="0" y="0"/>
            <wp:positionH relativeFrom="column">
              <wp:posOffset>2414905</wp:posOffset>
            </wp:positionH>
            <wp:positionV relativeFrom="paragraph">
              <wp:posOffset>38100</wp:posOffset>
            </wp:positionV>
            <wp:extent cx="6350" cy="1080770"/>
            <wp:effectExtent l="0" t="0" r="12700" b="508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6350" cy="1080516"/>
                    </a:xfrm>
                    <a:prstGeom prst="rect">
                      <a:avLst/>
                    </a:prstGeom>
                  </pic:spPr>
                </pic:pic>
              </a:graphicData>
            </a:graphic>
          </wp:anchor>
        </w:drawing>
      </w:r>
      <w:r>
        <w:rPr>
          <w:rFonts w:hint="default" w:ascii="Times New Roman" w:hAnsi="Times New Roman" w:eastAsia="华文楷体" w:cs="Times New Roman"/>
          <w:b w:val="0"/>
          <w:bCs/>
          <w:color w:val="auto"/>
          <w:spacing w:val="-9"/>
          <w:sz w:val="30"/>
          <w:szCs w:val="30"/>
          <w14:textOutline w14:w="3810" w14:cap="flat" w14:cmpd="sng" w14:algn="ctr">
            <w14:solidFill>
              <w14:srgbClr w14:val="000000"/>
            </w14:solidFill>
            <w14:prstDash w14:val="solid"/>
            <w14:miter w14:val="0"/>
          </w14:textOutline>
        </w:rPr>
        <w:t>■博士</w:t>
      </w:r>
    </w:p>
    <w:p>
      <w:pPr>
        <w:spacing w:before="109"/>
        <w:ind w:right="1656"/>
        <w:jc w:val="both"/>
        <w:rPr>
          <w:rFonts w:hint="default" w:ascii="Times New Roman" w:hAnsi="Times New Roman" w:eastAsia="华文楷体" w:cs="Times New Roman"/>
          <w:b w:val="0"/>
          <w:bCs/>
          <w:strike/>
          <w:color w:val="auto"/>
          <w:spacing w:val="1"/>
          <w:sz w:val="30"/>
          <w:szCs w:val="30"/>
        </w:rPr>
      </w:pPr>
      <w:r>
        <w:rPr>
          <w:rFonts w:hint="default" w:ascii="Times New Roman" w:hAnsi="Times New Roman" w:eastAsia="Microsoft YaHei UI" w:cs="Times New Roman"/>
          <w:b w:val="0"/>
          <w:bCs/>
          <w:color w:val="auto"/>
          <w:spacing w:val="-21"/>
          <w:sz w:val="30"/>
          <w:szCs w:val="30"/>
          <w14:textOutline w14:w="3810" w14:cap="flat" w14:cmpd="sng" w14:algn="ctr">
            <w14:solidFill>
              <w14:srgbClr w14:val="000000"/>
            </w14:solidFill>
            <w14:prstDash w14:val="solid"/>
            <w14:miter w14:val="0"/>
          </w14:textOutline>
        </w:rPr>
        <w:t>　　　    　　</w:t>
      </w:r>
      <w:r>
        <w:rPr>
          <w:rFonts w:hint="default" w:ascii="Times New Roman" w:hAnsi="Times New Roman" w:eastAsia="华文楷体" w:cs="Times New Roman"/>
          <w:b w:val="0"/>
          <w:bCs/>
          <w:color w:val="auto"/>
          <w:spacing w:val="-21"/>
          <w:sz w:val="30"/>
          <w:szCs w:val="30"/>
          <w14:textOutline w14:w="3810" w14:cap="flat" w14:cmpd="sng" w14:algn="ctr">
            <w14:solidFill>
              <w14:srgbClr w14:val="000000"/>
            </w14:solidFill>
            <w14:prstDash w14:val="solid"/>
            <w14:miter w14:val="0"/>
          </w14:textOutline>
        </w:rPr>
        <w:t xml:space="preserve">授　权　级  别 </w:t>
      </w:r>
      <w:r>
        <w:rPr>
          <w:rFonts w:hint="default" w:ascii="Times New Roman" w:hAnsi="Times New Roman" w:eastAsia="华文楷体" w:cs="Times New Roman"/>
          <w:b w:val="0"/>
          <w:bCs/>
          <w:strike/>
          <w:color w:val="auto"/>
          <w:spacing w:val="1"/>
          <w:sz w:val="30"/>
          <w:szCs w:val="30"/>
        </w:rPr>
        <w:t xml:space="preserve">                   </w:t>
      </w:r>
    </w:p>
    <w:p>
      <w:pPr>
        <w:spacing w:before="109"/>
        <w:ind w:right="1656" w:firstLine="3948" w:firstLineChars="1400"/>
        <w:jc w:val="both"/>
        <w:rPr>
          <w:rFonts w:hint="default" w:ascii="Times New Roman" w:hAnsi="Times New Roman" w:eastAsia="华文楷体" w:cs="Times New Roman"/>
          <w:b w:val="0"/>
          <w:bCs/>
          <w:color w:val="auto"/>
          <w:sz w:val="30"/>
          <w:szCs w:val="30"/>
        </w:rPr>
      </w:pPr>
      <w:r>
        <w:rPr>
          <w:rFonts w:hint="default" w:ascii="Times New Roman" w:hAnsi="Times New Roman" w:eastAsia="华文楷体" w:cs="Times New Roman"/>
          <w:b w:val="0"/>
          <w:bCs/>
          <w:color w:val="auto"/>
          <w:spacing w:val="-9"/>
          <w:sz w:val="30"/>
          <w:szCs w:val="30"/>
          <w14:textOutline w14:w="3810" w14:cap="flat" w14:cmpd="sng" w14:algn="ctr">
            <w14:solidFill>
              <w14:srgbClr w14:val="000000"/>
            </w14:solidFill>
            <w14:prstDash w14:val="solid"/>
            <w14:miter w14:val="0"/>
          </w14:textOutline>
        </w:rPr>
        <w:t>■硕士</w:t>
      </w:r>
    </w:p>
    <w:p>
      <w:pPr>
        <w:spacing w:line="360" w:lineRule="auto"/>
        <w:jc w:val="both"/>
        <w:rPr>
          <w:rFonts w:hint="default" w:ascii="Times New Roman" w:hAnsi="Times New Roman" w:cs="Times New Roman"/>
          <w:b w:val="0"/>
          <w:bCs/>
          <w:color w:val="auto"/>
        </w:rPr>
        <w:sectPr>
          <w:footerReference r:id="rId3" w:type="default"/>
          <w:pgSz w:w="11905" w:h="16840"/>
          <w:pgMar w:top="1429" w:right="1672" w:bottom="1395" w:left="1785" w:header="0" w:footer="1905" w:gutter="0"/>
          <w:cols w:space="0" w:num="1"/>
        </w:sectPr>
      </w:pPr>
    </w:p>
    <w:sdt>
      <w:sdtPr>
        <w:rPr>
          <w:rFonts w:hint="default" w:ascii="Times New Roman" w:hAnsi="Times New Roman" w:eastAsia="宋体" w:cs="Times New Roman"/>
          <w:b w:val="0"/>
          <w:bCs/>
          <w:color w:val="auto"/>
        </w:rPr>
        <w:id w:val="147480426"/>
        <w:docPartObj>
          <w:docPartGallery w:val="Table of Contents"/>
          <w:docPartUnique/>
        </w:docPartObj>
      </w:sdtPr>
      <w:sdtEndPr>
        <w:rPr>
          <w:rFonts w:hint="default" w:ascii="Times New Roman" w:hAnsi="Times New Roman" w:eastAsia="宋体" w:cs="Times New Roman"/>
          <w:b w:val="0"/>
          <w:bCs/>
          <w:color w:val="auto"/>
        </w:rPr>
      </w:sdtEndPr>
      <w:sdtContent>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目录</w:t>
          </w:r>
        </w:p>
        <w:p>
          <w:pPr>
            <w:pStyle w:val="10"/>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TOC \o "1-3" \h \u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"_Toc122510649"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黑体" w:cs="Times New Roman"/>
              <w:b w:val="0"/>
              <w:bCs/>
              <w:color w:val="auto"/>
              <w:sz w:val="28"/>
              <w:szCs w:val="28"/>
            </w:rPr>
            <w:t>一、学位授权点基本情况</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_Toc122510649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（一）基本概况</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（二）目标与标准</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w:t>
          </w:r>
          <w:r>
            <w:rPr>
              <w:rStyle w:val="17"/>
              <w:rFonts w:hint="default" w:ascii="Times New Roman" w:hAnsi="Times New Roman" w:eastAsia="仿宋" w:cs="Times New Roman"/>
              <w:b w:val="0"/>
              <w:bCs/>
              <w:color w:val="auto"/>
              <w:sz w:val="28"/>
              <w:szCs w:val="28"/>
              <w:lang w:val="zh-CN"/>
            </w:rPr>
            <w:t>培养目标</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2.研究方向</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3.学习年限</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5</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"_Toc122510655"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4.培养方式</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_Toc122510655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5</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"_Toc122510656"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5.课程设置与学分要求</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_Toc122510656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6</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"_Toc122510657"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6.主要培养环节及要求</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_Toc122510657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"_Toc122510658"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7.学科综合考试与中期考核</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_Toc122510658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8</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"_Toc122510659"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lang w:val="zh-CN"/>
            </w:rPr>
            <w:t>8.科学研究与论文</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_Toc122510659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9.</w:t>
          </w:r>
          <w:r>
            <w:rPr>
              <w:rStyle w:val="17"/>
              <w:rFonts w:hint="default" w:ascii="Times New Roman" w:hAnsi="Times New Roman" w:eastAsia="仿宋" w:cs="Times New Roman"/>
              <w:b w:val="0"/>
              <w:bCs/>
              <w:color w:val="auto"/>
              <w:sz w:val="28"/>
              <w:szCs w:val="28"/>
              <w:lang w:val="zh-CN"/>
            </w:rPr>
            <w:t>本学科主要文献和书目</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（三）基本条件</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1.培养方向</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2.师资队伍</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w:t>
          </w:r>
          <w:r>
            <w:rPr>
              <w:rStyle w:val="17"/>
              <w:rFonts w:hint="default" w:ascii="Times New Roman" w:hAnsi="Times New Roman" w:eastAsia="仿宋" w:cs="Times New Roman"/>
              <w:b w:val="0"/>
              <w:bCs/>
              <w:color w:val="auto"/>
              <w:sz w:val="28"/>
              <w:szCs w:val="28"/>
              <w:lang w:val="zh-CN"/>
            </w:rPr>
            <w:t>科学研究</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"_Toc122510665"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4.教学科研支撑</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_Toc122510665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16</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"_Toc122510666"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5.</w:t>
          </w:r>
          <w:r>
            <w:rPr>
              <w:rStyle w:val="17"/>
              <w:rFonts w:hint="default" w:ascii="Times New Roman" w:hAnsi="Times New Roman" w:eastAsia="仿宋" w:cs="Times New Roman"/>
              <w:b w:val="0"/>
              <w:bCs/>
              <w:color w:val="auto"/>
              <w:sz w:val="28"/>
              <w:szCs w:val="28"/>
              <w:lang w:val="zh-CN"/>
            </w:rPr>
            <w:t>资助体系</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_Toc122510666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"_Toc122510667"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6.管理服务</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_Toc122510667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"_Toc122510668"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（四）人才培养</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_Toc122510668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"_Toc122510669"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1.思想政治教育</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_Toc122510669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19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2.师德师风建设</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3.招生选拔</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4.课程教学</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24</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5.导师管理</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25</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6.学术训练</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26</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"_Toc122510675"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（五）质量监控</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_Toc122510675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"_Toc122510676"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1.分流淘汰</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_Toc122510676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"_Toc122510677"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2.学位论文</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_Toc122510677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"_Toc122510678"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3.学风教育</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_Toc122510678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28</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"_Toc122510679"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4.就业发展</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_Toc122510679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0"/>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黑体" w:cs="Times New Roman"/>
              <w:b w:val="0"/>
              <w:bCs/>
              <w:color w:val="auto"/>
              <w:sz w:val="28"/>
              <w:szCs w:val="28"/>
            </w:rPr>
            <w:t>二、 工作特色与成效</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（一）党建引领促学位点建设见成效</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29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（二）深化研究生教育改革人才培养质量得提升</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30</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1.适应新形势新时代，改革研究生管理模式，探索建立了研究生班级制。</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30</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2.培养目标进一步明确清晰，学位点各专业培养方向的研究领域更加具体化</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30</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"_Toc122510685"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3.优化培养方案学科课程结构，实现课程“五育并举”以及个性化、方向性设置。</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_Toc122510685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31</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0"/>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"_Toc122510686"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黑体" w:cs="Times New Roman"/>
              <w:b w:val="0"/>
              <w:bCs/>
              <w:color w:val="auto"/>
              <w:sz w:val="28"/>
              <w:szCs w:val="28"/>
            </w:rPr>
            <w:t>三、 学位点建设存在的主要问题和不足</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_Toc122510686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"_Toc122510687"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（一）导师队伍中，高层次特别是领军人才欠缺</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_Toc122510687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"_Toc122510688"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（二）高显示度的教学、科研成果缺乏以及成果转化能力偏弱</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_Toc122510688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32</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"_Toc122510689"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（三）学科间交叉融合度不够</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_Toc122510689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33</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0"/>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eastAsia="宋体" w:cs="Times New Roman"/>
              <w:b w:val="0"/>
              <w:bCs/>
              <w:sz w:val="28"/>
              <w:szCs w:val="28"/>
              <w:lang w:eastAsia="zh-CN"/>
            </w:rPr>
            <w:t>四、</w:t>
          </w: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黑体" w:cs="Times New Roman"/>
              <w:b w:val="0"/>
              <w:bCs/>
              <w:color w:val="auto"/>
              <w:sz w:val="28"/>
              <w:szCs w:val="28"/>
            </w:rPr>
            <w:t>下一年度建设计划</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33</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（一）发展目标</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33</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1.党建与思想政治建设</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33</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2.加强招生工作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33</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3.提升科技创新能力</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34</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"_Toc122510695"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4.人才培养</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_Toc122510695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34</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"_Toc122510696"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5.师资队伍建设</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_Toc122510696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34</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"_Toc122510697"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6.国际交流与合作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_Toc122510697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35</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"_Toc122510698"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7.科技援外与社会服务</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_Toc122510698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36</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11"/>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"_Toc122510699"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楷体" w:cs="Times New Roman"/>
              <w:b w:val="0"/>
              <w:bCs/>
              <w:color w:val="auto"/>
              <w:sz w:val="28"/>
              <w:szCs w:val="28"/>
            </w:rPr>
            <w:t>（二）保障措施</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_Toc122510699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"_Toc122510700"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1.充分发挥学院党委政治核心作用，加强党对学位点建设的全面领导，推动学院学位点高质量发展</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_Toc122510700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37</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"_Toc122510701"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2.制度保障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_Toc122510701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"_Toc122510702"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3.平台保障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_Toc122510702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"_Toc122510703"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4.人才保障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_Toc122510703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39</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pStyle w:val="6"/>
            <w:keepNext w:val="0"/>
            <w:keepLines w:val="0"/>
            <w:pageBreakBefore w:val="0"/>
            <w:widowControl/>
            <w:tabs>
              <w:tab w:val="right" w:leader="dot" w:pos="8438"/>
            </w:tabs>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eastAsiaTheme="minorEastAsia"/>
              <w:b w:val="0"/>
              <w:bCs/>
              <w:snapToGrid/>
              <w:color w:val="auto"/>
              <w:kern w:val="2"/>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HYPERLINK \l "_Toc122510704" </w:instrText>
          </w:r>
          <w:r>
            <w:rPr>
              <w:rFonts w:hint="default" w:ascii="Times New Roman" w:hAnsi="Times New Roman" w:cs="Times New Roman"/>
              <w:b w:val="0"/>
              <w:bCs/>
              <w:sz w:val="28"/>
              <w:szCs w:val="28"/>
            </w:rPr>
            <w:fldChar w:fldCharType="separate"/>
          </w:r>
          <w:r>
            <w:rPr>
              <w:rStyle w:val="17"/>
              <w:rFonts w:hint="default" w:ascii="Times New Roman" w:hAnsi="Times New Roman" w:eastAsia="仿宋" w:cs="Times New Roman"/>
              <w:b w:val="0"/>
              <w:bCs/>
              <w:color w:val="auto"/>
              <w:sz w:val="28"/>
              <w:szCs w:val="28"/>
            </w:rPr>
            <w:t>5.资金保障</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PAGEREF _Toc122510704 \h </w:instrText>
          </w:r>
          <w:r>
            <w:rPr>
              <w:rFonts w:hint="default" w:ascii="Times New Roman" w:hAnsi="Times New Roman" w:cs="Times New Roman"/>
              <w:b w:val="0"/>
              <w:bCs/>
              <w:color w:val="auto"/>
              <w:sz w:val="28"/>
              <w:szCs w:val="28"/>
            </w:rPr>
            <w:fldChar w:fldCharType="separate"/>
          </w:r>
          <w:r>
            <w:rPr>
              <w:rFonts w:hint="default" w:ascii="Times New Roman" w:hAnsi="Times New Roman" w:cs="Times New Roman"/>
              <w:b w:val="0"/>
              <w:bCs/>
              <w:color w:val="auto"/>
              <w:sz w:val="28"/>
              <w:szCs w:val="28"/>
            </w:rPr>
            <w:t>40</w:t>
          </w:r>
          <w:r>
            <w:rPr>
              <w:rFonts w:hint="default" w:ascii="Times New Roman" w:hAnsi="Times New Roman" w:cs="Times New Roman"/>
              <w:b w:val="0"/>
              <w:bCs/>
              <w:color w:val="auto"/>
              <w:sz w:val="28"/>
              <w:szCs w:val="28"/>
            </w:rPr>
            <w:fldChar w:fldCharType="end"/>
          </w:r>
          <w:r>
            <w:rPr>
              <w:rFonts w:hint="default" w:ascii="Times New Roman" w:hAnsi="Times New Roman" w:cs="Times New Roman"/>
              <w:b w:val="0"/>
              <w:bCs/>
              <w:color w:val="auto"/>
              <w:sz w:val="28"/>
              <w:szCs w:val="28"/>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Times New Roman" w:hAnsi="Times New Roman" w:cs="Times New Roman"/>
              <w:b w:val="0"/>
              <w:bCs/>
              <w:color w:val="auto"/>
            </w:rPr>
          </w:pPr>
          <w:r>
            <w:rPr>
              <w:rFonts w:hint="default" w:ascii="Times New Roman" w:hAnsi="Times New Roman" w:cs="Times New Roman"/>
              <w:b w:val="0"/>
              <w:bCs/>
              <w:color w:val="auto"/>
              <w:sz w:val="28"/>
              <w:szCs w:val="28"/>
            </w:rPr>
            <w:fldChar w:fldCharType="end"/>
          </w:r>
        </w:p>
      </w:sdtContent>
    </w:sdt>
    <w:p>
      <w:pPr>
        <w:pStyle w:val="3"/>
        <w:spacing w:before="74" w:line="360" w:lineRule="auto"/>
        <w:jc w:val="both"/>
        <w:rPr>
          <w:rFonts w:hint="default" w:ascii="Times New Roman" w:hAnsi="Times New Roman" w:cs="Times New Roman"/>
          <w:b w:val="0"/>
          <w:bCs/>
          <w:color w:val="auto"/>
        </w:rPr>
        <w:sectPr>
          <w:footerReference r:id="rId4" w:type="default"/>
          <w:pgSz w:w="11905" w:h="16840"/>
          <w:pgMar w:top="1429" w:right="1672" w:bottom="1395" w:left="1785" w:header="0" w:footer="0" w:gutter="0"/>
          <w:pgNumType w:start="1"/>
          <w:cols w:space="0" w:num="1"/>
        </w:sectPr>
      </w:pPr>
      <w:r>
        <w:rPr>
          <w:rFonts w:hint="default" w:ascii="Times New Roman" w:hAnsi="Times New Roman" w:cs="Times New Roman"/>
          <w:b w:val="0"/>
          <w:bCs/>
          <w:color w:val="auto"/>
          <w:sz w:val="21"/>
        </w:rPr>
        <w:t xml:space="preserve"> </w:t>
      </w:r>
    </w:p>
    <w:p>
      <w:pPr>
        <w:pStyle w:val="3"/>
        <w:pageBreakBefore w:val="0"/>
        <w:widowControl/>
        <w:kinsoku w:val="0"/>
        <w:wordWrap/>
        <w:overflowPunct/>
        <w:topLinePunct w:val="0"/>
        <w:autoSpaceDE w:val="0"/>
        <w:autoSpaceDN w:val="0"/>
        <w:bidi w:val="0"/>
        <w:adjustRightInd w:val="0"/>
        <w:snapToGrid w:val="0"/>
        <w:spacing w:before="0" w:line="560" w:lineRule="exact"/>
        <w:jc w:val="both"/>
        <w:textAlignment w:val="baseline"/>
        <w:rPr>
          <w:rFonts w:hint="default" w:ascii="Times New Roman" w:hAnsi="Times New Roman" w:eastAsia="黑体" w:cs="Times New Roman"/>
          <w:b w:val="0"/>
          <w:bCs/>
          <w:color w:val="auto"/>
          <w:sz w:val="32"/>
          <w:szCs w:val="32"/>
        </w:rPr>
      </w:pPr>
      <w:bookmarkStart w:id="0" w:name="_Toc122510649"/>
      <w:r>
        <w:rPr>
          <w:rFonts w:hint="default" w:ascii="Times New Roman" w:hAnsi="Times New Roman" w:eastAsia="黑体" w:cs="Times New Roman"/>
          <w:b w:val="0"/>
          <w:bCs/>
          <w:color w:val="auto"/>
          <w:sz w:val="32"/>
          <w:szCs w:val="32"/>
        </w:rPr>
        <w:t>一、学位授权点基本情况</w:t>
      </w:r>
      <w:bookmarkEnd w:id="0"/>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eastAsia" w:ascii="楷体_GB2312" w:hAnsi="楷体_GB2312" w:eastAsia="楷体_GB2312" w:cs="楷体_GB2312"/>
          <w:b w:val="0"/>
          <w:bCs/>
          <w:color w:val="auto"/>
          <w:sz w:val="32"/>
          <w:szCs w:val="32"/>
        </w:rPr>
      </w:pPr>
      <w:bookmarkStart w:id="1" w:name="_Toc122510650"/>
      <w:r>
        <w:rPr>
          <w:rFonts w:hint="eastAsia" w:ascii="楷体_GB2312" w:hAnsi="楷体_GB2312" w:eastAsia="楷体_GB2312" w:cs="楷体_GB2312"/>
          <w:b w:val="0"/>
          <w:bCs/>
          <w:color w:val="auto"/>
          <w:sz w:val="32"/>
          <w:szCs w:val="32"/>
        </w:rPr>
        <w:t>（一）基本概况</w:t>
      </w:r>
      <w:bookmarkEnd w:id="1"/>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学位点历史源于1997年由中央与地方共建设立福建农林大学生物学理科基地，2006年获一级学科博士点。学位点依托学科现为国家林草局重点学科、福建省重点学科和福建省双一流建设高原学科，全国第四轮学科评估中进入B档，在全国161所参评的高校中位居40位，并列第32位，在全国农林大学中并列第4。根据2022年软科中国最好学科排名，生物学学科列居全国第42位。拥有国家工程技术研究中心、国家国际科技合作基地、国家重点实验室、教育部重点实验室、省部共建协同创新中心各1个、省重点实验室3个。具有生物学博士后科研工作流动站、生物学一级学科博硕士点和生物与医药专业学位硕士点，有生物科学、生物技术、生物工程、生物信息学等4个本科专业，其中生物科学</w:t>
      </w:r>
      <w:r>
        <w:rPr>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b w:val="0"/>
          <w:bCs/>
          <w:color w:val="auto"/>
          <w:sz w:val="32"/>
          <w:szCs w:val="32"/>
        </w:rPr>
        <w:t>生物技术和生物工程均入选国家一流本科专业建设点。</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学位点紧紧围绕“科学发展先锋，服务海西先行，办学内涵提升”的主题，以“闽台特色生物资源生物学及综合利用”的目标，在生物育种、信号转导、基因组学利用等方面取得显著成绩。</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szCs w:val="32"/>
        </w:rPr>
      </w:pPr>
      <w:bookmarkStart w:id="2" w:name="_Toc122510651"/>
      <w:r>
        <w:rPr>
          <w:rFonts w:hint="default" w:ascii="楷体_GB2312" w:hAnsi="楷体_GB2312" w:eastAsia="楷体_GB2312" w:cs="楷体_GB2312"/>
          <w:b w:val="0"/>
          <w:bCs/>
          <w:color w:val="auto"/>
          <w:sz w:val="32"/>
          <w:szCs w:val="32"/>
        </w:rPr>
        <w:t>（二）目标与标准</w:t>
      </w:r>
      <w:bookmarkEnd w:id="2"/>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rPr>
      </w:pPr>
      <w:bookmarkStart w:id="3" w:name="_Toc122510652"/>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zh-CN" w:eastAsia="zh-CN" w:bidi="ar-SA"/>
        </w:rPr>
        <w:t>培养目标</w:t>
      </w:r>
      <w:bookmarkEnd w:id="3"/>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习近平新时代中国特色社会主义思想为指导，全面贯彻党和国家教育方针。以立德树人为根本，聚焦新时代新形势，立足东南沿海，服务国家生物经济高质量发展乡村振兴和福建“四大经济”等区域社会经济发展需求。坚持德智体美劳全面发展的教育理念，培养具有高尚思想品德，正确政治立场，严谨治学态度，求实创新精神，具备较高综合素质和科技创新能力的生物学领域方面的高层次专门人才。要求系统掌握生物学的基础理论，熟悉生物学领域的研究方向、现状及最新的前沿动态，具有较强的独立科学研究和学科创新能力，经过几年的锻炼和培养，可以成为在生物学领域具有一定影响力的科研工作者或高层管理技术人才。</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(一)较好地掌握马克思主义理论，坚持党的基本路线，热爱祖国，遵纪守法，具有较强的事业心和献身精神，品行端正、诚实守信、学风严谨、身心健康。</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适应科技进步和社会发展的需要，掌握本门学科专业坚实宽广的基础理论和系统深入的专业知识，深入了解本学科发展方向及国际学术研究前沿。同时要掌握一定的相关学科知识，掌握科学研究的先进方法，具有良好的科学文化素养和团队精神，能够独立地进行科学研究，并在所研究的领域取得创造性的研究成果。</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(三)掌握一门外国语，能熟练地进行本专业的学习、研究和学术交流。</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lang w:val="zh-CN"/>
        </w:rPr>
      </w:pPr>
      <w:bookmarkStart w:id="4" w:name="_Toc122510653"/>
      <w:r>
        <w:rPr>
          <w:rFonts w:hint="default" w:ascii="Times New Roman" w:hAnsi="Times New Roman" w:eastAsia="仿宋" w:cs="Times New Roman"/>
          <w:b w:val="0"/>
          <w:bCs/>
          <w:color w:val="auto"/>
          <w:sz w:val="32"/>
          <w:lang w:val="zh-CN"/>
        </w:rPr>
        <w:t>2.</w:t>
      </w:r>
      <w:r>
        <w:rPr>
          <w:rFonts w:hint="default" w:ascii="Times New Roman" w:hAnsi="Times New Roman" w:eastAsia="仿宋_GB2312" w:cs="Times New Roman"/>
          <w:b w:val="0"/>
          <w:bCs/>
          <w:snapToGrid w:val="0"/>
          <w:color w:val="auto"/>
          <w:sz w:val="32"/>
          <w:szCs w:val="32"/>
          <w:lang w:val="zh-CN" w:eastAsia="zh-CN" w:bidi="ar-SA"/>
        </w:rPr>
        <w:t>研究方向</w:t>
      </w:r>
      <w:bookmarkEnd w:id="4"/>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生物化学与分子生物学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研究内容：中亚热带植物生理生化与分子生物学、食药用真菌生理生化与分子生物学、闽台特色农作物分子生物学、动物生理生化与分子生物学、生物功能材料和超分子化学。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特色：利用分子生物学、生物信息学和代谢调控手段从分子、代谢水平上探讨中亚热带植物、闽台特色农作物、食药用真菌和动物的生长发育、基因调控、基因功能、代谢途径等重要的分子生物学机制，解析营养成分、环境信号与植物、微生物、动物互作分子机制，指导分子育种；后基因组时代微生物天然产物药物研发；生物相容性材料、纳米生物传感器的研究与应用；开展海水鱼类应答细菌感染和病毒诱导的免疫反应过程与规律研究。</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（2）</w:t>
      </w:r>
      <w:r>
        <w:rPr>
          <w:rFonts w:hint="default" w:ascii="Times New Roman" w:hAnsi="Times New Roman" w:eastAsia="仿宋_GB2312" w:cs="Times New Roman"/>
          <w:b w:val="0"/>
          <w:bCs/>
          <w:color w:val="auto"/>
          <w:sz w:val="32"/>
          <w:szCs w:val="32"/>
        </w:rPr>
        <w:t>微生物学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研究内容：大型真菌学、海洋微生物、微生物农药、闽台农作物致病微生物。</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特色：基于食药用真菌、海洋等微生物基因组信息大规模挖掘结构新颖、活性突出的天然抗菌小分子，并解析相关小分子的生物合成机理；中亚热带农产品采后、粮食储藏过程有害微生物的产毒分子机制、检测方法及生态防控等；以苏云金芽胞杆菌(Bt)和虫生真菌为模式生物，开展杀虫防病、抗肿瘤和系统发育等微生物资源及其创新研究；围绕稻瘟病菌等植物病害真菌，在水稻、拟南芥和烟草等模式植物上，开展植物病原真菌病害灾变机制、生长发育和致病机理、真菌和植物互作分子机制及植物抗病机制等方面研究。</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（3）</w:t>
      </w:r>
      <w:r>
        <w:rPr>
          <w:rFonts w:hint="default" w:ascii="Times New Roman" w:hAnsi="Times New Roman" w:eastAsia="仿宋_GB2312" w:cs="Times New Roman"/>
          <w:b w:val="0"/>
          <w:bCs/>
          <w:color w:val="auto"/>
          <w:sz w:val="32"/>
          <w:szCs w:val="32"/>
        </w:rPr>
        <w:t>细胞生物学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研究内容：分子细胞生物学，植物细胞信号传导。</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pacing w:val="-8"/>
          <w:sz w:val="32"/>
          <w:szCs w:val="32"/>
        </w:rPr>
      </w:pPr>
      <w:r>
        <w:rPr>
          <w:rFonts w:hint="default" w:ascii="Times New Roman" w:hAnsi="Times New Roman" w:eastAsia="仿宋_GB2312" w:cs="Times New Roman"/>
          <w:b w:val="0"/>
          <w:bCs/>
          <w:color w:val="auto"/>
          <w:sz w:val="32"/>
          <w:szCs w:val="32"/>
        </w:rPr>
        <w:t>研究特色：中亚热带植物生长、发育、形态建成、衰老、细胞死亡的转录与表观遗传调控机理、植物逆境下细胞信号传导机理,以及闽台特色植物农艺性状形成机理研究；水稻、菠萝等中亚热带植物生殖过程中花粉传播与雌雄配子体发育和细胞形态建成的机制。</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（4）</w:t>
      </w:r>
      <w:r>
        <w:rPr>
          <w:rFonts w:hint="default" w:ascii="Times New Roman" w:hAnsi="Times New Roman" w:eastAsia="仿宋_GB2312" w:cs="Times New Roman"/>
          <w:b w:val="0"/>
          <w:bCs/>
          <w:color w:val="auto"/>
          <w:sz w:val="32"/>
          <w:szCs w:val="32"/>
        </w:rPr>
        <w:t>遗传学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研究内容：食药用菌遗传学、植物遗传学、动物遗传学。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特色：开展食药用菌真菌遗传特性、特色食用菌新品种（如银耳、猴头菇、海鲜菇、金针菇）的定向选育及遗传改良体系的建立；模式植物拟南芥雌配子体发育以及水稻、菠萝、碱蓬等重要粮食和经济作物的重要性状，植物雌配子体发育的遗传和表观遗传调控机理研究。</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（5）动物学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在水产健康养殖、海水经济动物免疫与病害控制、水产营养与饲料、海洋资源开发与利用、水生应激生理和抗逆育种、水产动物生殖调控和分子免疫等方面形成了鲜明的特色。</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（6）蜂学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主要开展蜜蜂遗传育种、蜂产品功能、行为和分子生物学等领域的研究</w:t>
      </w:r>
      <w:r>
        <w:rPr>
          <w:rFonts w:hint="default" w:ascii="Times New Roman" w:hAnsi="Times New Roman" w:eastAsia="仿宋" w:cs="Times New Roman"/>
          <w:b w:val="0"/>
          <w:bCs/>
          <w:color w:val="auto"/>
          <w:spacing w:val="-8"/>
          <w:sz w:val="32"/>
          <w:szCs w:val="32"/>
        </w:rPr>
        <w:t>。</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zh-CN" w:eastAsia="zh-CN" w:bidi="ar-SA"/>
        </w:rPr>
      </w:pPr>
      <w:bookmarkStart w:id="5" w:name="_Toc122510654"/>
      <w:r>
        <w:rPr>
          <w:rFonts w:hint="default" w:ascii="Times New Roman" w:hAnsi="Times New Roman" w:eastAsia="仿宋" w:cs="Times New Roman"/>
          <w:b w:val="0"/>
          <w:bCs/>
          <w:color w:val="auto"/>
          <w:sz w:val="32"/>
          <w:lang w:val="zh-CN"/>
        </w:rPr>
        <w:t>3.</w:t>
      </w:r>
      <w:r>
        <w:rPr>
          <w:rFonts w:hint="default" w:ascii="Times New Roman" w:hAnsi="Times New Roman" w:eastAsia="仿宋_GB2312" w:cs="Times New Roman"/>
          <w:b w:val="0"/>
          <w:bCs/>
          <w:snapToGrid w:val="0"/>
          <w:color w:val="auto"/>
          <w:sz w:val="32"/>
          <w:szCs w:val="32"/>
          <w:lang w:val="zh-CN" w:eastAsia="zh-CN" w:bidi="ar-SA"/>
        </w:rPr>
        <w:t>学习年限</w:t>
      </w:r>
      <w:bookmarkEnd w:id="5"/>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本学科博士研究生学制为 4 年。因客观原因未能按期完成学习任务者，可申请延长学习年限。博士研究生在校最长学习年限(含休学和保留学籍)不超过 7 年。对政治思想好，提前修完培养方案中规定的课程与学分，并完成培养环节和论文工作，成绩优秀，科研成果较突出，提出提前毕业申请的博士生，经导师推荐，学院学位评定分委员会研究同意，研究生院批准，可提前答辩。通过论文答辩则准予提前毕业。博士生申请提前毕业的，应至少在校学习期满 3年。</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zh-CN" w:eastAsia="zh-CN" w:bidi="ar-SA"/>
        </w:rPr>
      </w:pPr>
      <w:bookmarkStart w:id="6" w:name="_Toc122510655"/>
      <w:r>
        <w:rPr>
          <w:rFonts w:hint="default" w:ascii="Times New Roman" w:hAnsi="Times New Roman" w:eastAsia="仿宋" w:cs="Times New Roman"/>
          <w:b w:val="0"/>
          <w:bCs/>
          <w:color w:val="auto"/>
          <w:sz w:val="32"/>
          <w:lang w:val="zh-CN"/>
        </w:rPr>
        <w:t>4.</w:t>
      </w:r>
      <w:r>
        <w:rPr>
          <w:rFonts w:hint="default" w:ascii="Times New Roman" w:hAnsi="Times New Roman" w:eastAsia="仿宋_GB2312" w:cs="Times New Roman"/>
          <w:b w:val="0"/>
          <w:bCs/>
          <w:snapToGrid w:val="0"/>
          <w:color w:val="auto"/>
          <w:sz w:val="32"/>
          <w:szCs w:val="32"/>
          <w:lang w:val="zh-CN" w:eastAsia="zh-CN" w:bidi="ar-SA"/>
        </w:rPr>
        <w:t>培养方式</w:t>
      </w:r>
      <w:bookmarkEnd w:id="6"/>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导师负责制</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指导教师是研究生培养质量的第一责任人。博士研究生培养实行导师负责制，以导师为主建立博士生指导小组，指导小组 3-4 人。指导小组由指导教师邀请 2-3 名校内外正高职称专家或具有博士学位的本学科或相关学科的副高职称专家组成。导师或导师指导小组负责制订和调整博士生个人学习计划，组织读书报告和开题报告，指导科学研究和学位论文等。对交叉学科的博士生应组织共建学科组成导师指导小组进行集体指导，以研究生自身为主开展创新性科学研究与技术开发。指导教师要教书育人，应全面关心研究生的成长成才。</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（2）</w:t>
      </w:r>
      <w:r>
        <w:rPr>
          <w:rFonts w:hint="default" w:ascii="Times New Roman" w:hAnsi="Times New Roman" w:eastAsia="仿宋_GB2312" w:cs="Times New Roman"/>
          <w:b w:val="0"/>
          <w:bCs/>
          <w:color w:val="auto"/>
          <w:sz w:val="32"/>
          <w:szCs w:val="32"/>
        </w:rPr>
        <w:t>课程学习与科学研究相结合</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将社会主义核心价值观融入教育教学全过程，加强课程思政研究，深化课程思政改革，充分发挥课程育人功能，提高人才培养质量。坚持以学位论文研究工作为主，着重培养博士研究生的优良学风、探索精神、独立从事科学研究的能力和创新能力。通过思政课程和课程思政培养学生高尚思想品德，树立正确政治立场，通过课程学习掌握坚实的专业基础理论和学科前沿进展，通过科学研究以培养团队精神和胜任专业工作的能力。</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（3）</w:t>
      </w:r>
      <w:r>
        <w:rPr>
          <w:rFonts w:hint="default" w:ascii="Times New Roman" w:hAnsi="Times New Roman" w:eastAsia="仿宋_GB2312" w:cs="Times New Roman"/>
          <w:b w:val="0"/>
          <w:bCs/>
          <w:color w:val="auto"/>
          <w:sz w:val="32"/>
          <w:szCs w:val="32"/>
        </w:rPr>
        <w:t>强化学科交叉与融合</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通过选修，拓展研究生的知识面与解决实际问题的综合能力。采取学科交叉、灵活多样、行之有效的培养方法，提高研究生的培养质量，更好地满足社会经济发展对高层次人才的需求。</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lang w:val="zh-CN"/>
        </w:rPr>
      </w:pPr>
      <w:bookmarkStart w:id="7" w:name="_Toc122510656"/>
      <w:r>
        <w:rPr>
          <w:rFonts w:hint="default" w:ascii="Times New Roman" w:hAnsi="Times New Roman" w:eastAsia="仿宋" w:cs="Times New Roman"/>
          <w:b w:val="0"/>
          <w:bCs/>
          <w:color w:val="auto"/>
          <w:sz w:val="32"/>
          <w:lang w:val="zh-CN"/>
        </w:rPr>
        <w:t>5.</w:t>
      </w:r>
      <w:r>
        <w:rPr>
          <w:rFonts w:hint="default" w:ascii="Times New Roman" w:hAnsi="Times New Roman" w:eastAsia="仿宋_GB2312" w:cs="Times New Roman"/>
          <w:b w:val="0"/>
          <w:bCs/>
          <w:snapToGrid w:val="0"/>
          <w:color w:val="auto"/>
          <w:sz w:val="32"/>
          <w:szCs w:val="32"/>
          <w:lang w:val="zh-CN" w:eastAsia="zh-CN" w:bidi="ar-SA"/>
        </w:rPr>
        <w:t>课程设置与学分要求</w:t>
      </w:r>
      <w:bookmarkEnd w:id="7"/>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 w:cs="Times New Roman"/>
          <w:b w:val="0"/>
          <w:bCs/>
          <w:color w:val="auto"/>
          <w:spacing w:val="-8"/>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应修课程和学分要求</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博士生课程总学分要求不少于 24 学分。其中课程学习不少于 17 学分：学位课程 11 学分，非学位课不少于 6 学分。培养环节不少于 7 学分。</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 w:cs="Times New Roman"/>
          <w:b w:val="0"/>
          <w:bCs/>
          <w:color w:val="auto"/>
          <w:spacing w:val="-8"/>
          <w:sz w:val="32"/>
          <w:szCs w:val="32"/>
        </w:rPr>
      </w:pPr>
      <w:r>
        <w:rPr>
          <w:rFonts w:hint="default" w:ascii="Times New Roman" w:hAnsi="Times New Roman" w:eastAsia="仿宋" w:cs="Times New Roman"/>
          <w:b w:val="0"/>
          <w:bCs/>
          <w:color w:val="auto"/>
          <w:spacing w:val="-8"/>
          <w:sz w:val="32"/>
          <w:szCs w:val="32"/>
        </w:rPr>
        <w:t>（2）</w:t>
      </w:r>
      <w:r>
        <w:rPr>
          <w:rFonts w:hint="default" w:ascii="Times New Roman" w:hAnsi="Times New Roman" w:eastAsia="仿宋_GB2312" w:cs="Times New Roman"/>
          <w:b w:val="0"/>
          <w:bCs/>
          <w:color w:val="auto"/>
          <w:sz w:val="32"/>
          <w:szCs w:val="32"/>
        </w:rPr>
        <w:t>补修要求</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未具硕士学位或跨门类录取的博士研究生（硕博连读者除外），应在导师指导下补修所录取专业的相应硕士专业学位课2 门，补修课程考试成绩 70 分合格，不合格者不得进入中期考核。补修课程不计入总学分。具体课程设置及学分要求见附表。</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lang w:val="zh-CN"/>
        </w:rPr>
      </w:pPr>
      <w:bookmarkStart w:id="8" w:name="_Toc122510657"/>
      <w:r>
        <w:rPr>
          <w:rFonts w:hint="default" w:ascii="Times New Roman" w:hAnsi="Times New Roman" w:eastAsia="仿宋" w:cs="Times New Roman"/>
          <w:b w:val="0"/>
          <w:bCs/>
          <w:color w:val="auto"/>
          <w:sz w:val="32"/>
          <w:lang w:val="zh-CN"/>
        </w:rPr>
        <w:t>6.</w:t>
      </w:r>
      <w:r>
        <w:rPr>
          <w:rFonts w:hint="default" w:ascii="Times New Roman" w:hAnsi="Times New Roman" w:eastAsia="仿宋_GB2312" w:cs="Times New Roman"/>
          <w:b w:val="0"/>
          <w:bCs/>
          <w:snapToGrid w:val="0"/>
          <w:color w:val="auto"/>
          <w:sz w:val="32"/>
          <w:szCs w:val="32"/>
          <w:lang w:val="zh-CN" w:eastAsia="zh-CN" w:bidi="ar-SA"/>
        </w:rPr>
        <w:t>主要培养环节及要求</w:t>
      </w:r>
      <w:bookmarkEnd w:id="8"/>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制定个人培养计划</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研究生个人培养计划含学习计划（包括学习计划、读书计划学术活动安排等）和论文研究计划（学位论文研究和工作计划），在新生入学后的 1 个月内完成。导师或导师指导小组，因根据培养方案的要求，结合研究生个人实际情况，指导研究生认真制定个人培养计划。个人培养计划一经制定不得随意更改，更改个人培养计划应得到导师、学科和学院的批准。</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 w:cs="Times New Roman"/>
          <w:b w:val="0"/>
          <w:bCs/>
          <w:color w:val="auto"/>
          <w:spacing w:val="-8"/>
          <w:sz w:val="32"/>
          <w:szCs w:val="32"/>
        </w:rPr>
      </w:pPr>
      <w:r>
        <w:rPr>
          <w:rFonts w:hint="default" w:ascii="Times New Roman" w:hAnsi="Times New Roman" w:eastAsia="仿宋" w:cs="Times New Roman"/>
          <w:b w:val="0"/>
          <w:bCs/>
          <w:color w:val="auto"/>
          <w:spacing w:val="-8"/>
          <w:sz w:val="32"/>
          <w:szCs w:val="32"/>
        </w:rPr>
        <w:t>（2）</w:t>
      </w:r>
      <w:r>
        <w:rPr>
          <w:rFonts w:hint="default" w:ascii="Times New Roman" w:hAnsi="Times New Roman" w:eastAsia="仿宋_GB2312" w:cs="Times New Roman"/>
          <w:b w:val="0"/>
          <w:bCs/>
          <w:color w:val="auto"/>
          <w:sz w:val="32"/>
          <w:szCs w:val="32"/>
        </w:rPr>
        <w:t>学术活动（5 学分）</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参加学术活动是提高研究生学术视野和科研能力的重要方式，包括做学术报告和听学术报告。博士研究生在学期间至少主讲专题报告 2 场，提倡用英语作学术报告。参加本学科领域国际学术会议并做报告计 5 学分，参加本学科领域国内全国性一级学会举办的全国性学术会议并做报告每场计 2 学分，参加本学科领域其它全国性学术会议并做报告每场计 0.5 学分，在全校或学院作学术报告每场计 0.5 学分；参加本学科领域国际学术会议每场计 2 学分，参加本学科领域国内全国性一级学会举办的全国性学术会议每场计 0.5 学分，参加本学科领域其它全国性学术会议每场计 0.1 学分，参加学术报告会及各类讲座等每场计 0.1 学分。研究生在全校或学院作学术报告所获得学分，博士生累计最高计 2.5 学分。参加国家或学校公派联合培养半年以上的研究生，学术活动视为考核合格。具体要求按照学校最新文件和学院相应要求执行。</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 w:cs="Times New Roman"/>
          <w:b w:val="0"/>
          <w:bCs/>
          <w:color w:val="auto"/>
          <w:spacing w:val="-8"/>
          <w:sz w:val="32"/>
          <w:szCs w:val="32"/>
        </w:rPr>
      </w:pPr>
      <w:r>
        <w:rPr>
          <w:rFonts w:hint="default" w:ascii="Times New Roman" w:hAnsi="Times New Roman" w:eastAsia="仿宋" w:cs="Times New Roman"/>
          <w:b w:val="0"/>
          <w:bCs/>
          <w:color w:val="auto"/>
          <w:spacing w:val="-8"/>
          <w:sz w:val="32"/>
          <w:szCs w:val="32"/>
        </w:rPr>
        <w:t>（3</w:t>
      </w:r>
      <w:r>
        <w:rPr>
          <w:rFonts w:hint="default" w:ascii="Times New Roman" w:hAnsi="Times New Roman" w:eastAsia="仿宋_GB2312" w:cs="Times New Roman"/>
          <w:b w:val="0"/>
          <w:bCs/>
          <w:color w:val="auto"/>
          <w:sz w:val="32"/>
          <w:szCs w:val="32"/>
        </w:rPr>
        <w:t>）实践教育（2 学分）</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 1 \* GB3 </w:instrText>
      </w:r>
      <w:r>
        <w:rPr>
          <w:rFonts w:hint="default" w:ascii="Times New Roman" w:hAnsi="Times New Roman" w:eastAsia="仿宋_GB2312" w:cs="Times New Roman"/>
          <w:b w:val="0"/>
          <w:bCs/>
          <w:color w:val="auto"/>
          <w:sz w:val="32"/>
          <w:szCs w:val="32"/>
        </w:rPr>
        <w:fldChar w:fldCharType="separate"/>
      </w:r>
      <w:r>
        <w:rPr>
          <w:rFonts w:hint="default" w:ascii="Times New Roman" w:hAnsi="Times New Roman" w:eastAsia="仿宋_GB2312" w:cs="Times New Roman"/>
          <w:b w:val="0"/>
          <w:bCs/>
          <w:color w:val="auto"/>
          <w:sz w:val="32"/>
          <w:szCs w:val="32"/>
        </w:rPr>
        <w:t>①</w:t>
      </w:r>
      <w:r>
        <w:rPr>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 xml:space="preserve"> 实践教育是研究生培养的基本要求，包括科研实践、教学实践。科研实践一般应聘为助研，导师或导师小组负责聘任，研究生参加导师或指导小组教师科研项目申报、项目实施等，由导师或导师小组负责出具证明进行考核；</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 2 \* GB3 </w:instrText>
      </w:r>
      <w:r>
        <w:rPr>
          <w:rFonts w:hint="default" w:ascii="Times New Roman" w:hAnsi="Times New Roman" w:eastAsia="仿宋_GB2312" w:cs="Times New Roman"/>
          <w:b w:val="0"/>
          <w:bCs/>
          <w:color w:val="auto"/>
          <w:sz w:val="32"/>
          <w:szCs w:val="32"/>
        </w:rPr>
        <w:fldChar w:fldCharType="separate"/>
      </w:r>
      <w:r>
        <w:rPr>
          <w:rFonts w:hint="default" w:ascii="Times New Roman" w:hAnsi="Times New Roman" w:eastAsia="仿宋_GB2312" w:cs="Times New Roman"/>
          <w:b w:val="0"/>
          <w:bCs/>
          <w:color w:val="auto"/>
          <w:sz w:val="32"/>
          <w:szCs w:val="32"/>
        </w:rPr>
        <w:t>②</w:t>
      </w:r>
      <w:r>
        <w:rPr>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 xml:space="preserve"> 教学实践一般应聘为助教，协助指导教师或本学科专业任课教师的本科生教学、实验，指导本科生毕业论文（设计）等，由指导教师或本学科专业任课教师考核，由聘任单位教务部门出具证明进行考核。</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 3 \* GB3 </w:instrText>
      </w:r>
      <w:r>
        <w:rPr>
          <w:rFonts w:hint="default" w:ascii="Times New Roman" w:hAnsi="Times New Roman" w:eastAsia="仿宋_GB2312" w:cs="Times New Roman"/>
          <w:b w:val="0"/>
          <w:bCs/>
          <w:color w:val="auto"/>
          <w:sz w:val="32"/>
          <w:szCs w:val="32"/>
        </w:rPr>
        <w:fldChar w:fldCharType="separate"/>
      </w:r>
      <w:r>
        <w:rPr>
          <w:rFonts w:hint="default" w:ascii="Times New Roman" w:hAnsi="Times New Roman" w:eastAsia="仿宋_GB2312" w:cs="Times New Roman"/>
          <w:b w:val="0"/>
          <w:bCs/>
          <w:color w:val="auto"/>
          <w:sz w:val="32"/>
          <w:szCs w:val="32"/>
        </w:rPr>
        <w:t>③</w:t>
      </w:r>
      <w:r>
        <w:rPr>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 xml:space="preserve"> 管理实践一般聘为助管，担任校内管理部门工作助手，完成一篇及以上心得体会，由聘用部门出具证明进行考核。</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fldChar w:fldCharType="begin"/>
      </w:r>
      <w:r>
        <w:rPr>
          <w:rFonts w:hint="default" w:ascii="Times New Roman" w:hAnsi="Times New Roman" w:eastAsia="仿宋_GB2312" w:cs="Times New Roman"/>
          <w:b w:val="0"/>
          <w:bCs/>
          <w:color w:val="auto"/>
          <w:sz w:val="32"/>
          <w:szCs w:val="32"/>
        </w:rPr>
        <w:instrText xml:space="preserve"> = 4 \* GB3 </w:instrText>
      </w:r>
      <w:r>
        <w:rPr>
          <w:rFonts w:hint="default" w:ascii="Times New Roman" w:hAnsi="Times New Roman" w:eastAsia="仿宋_GB2312" w:cs="Times New Roman"/>
          <w:b w:val="0"/>
          <w:bCs/>
          <w:color w:val="auto"/>
          <w:sz w:val="32"/>
          <w:szCs w:val="32"/>
        </w:rPr>
        <w:fldChar w:fldCharType="separate"/>
      </w:r>
      <w:r>
        <w:rPr>
          <w:rFonts w:hint="default" w:ascii="Times New Roman" w:hAnsi="Times New Roman" w:eastAsia="仿宋_GB2312" w:cs="Times New Roman"/>
          <w:b w:val="0"/>
          <w:bCs/>
          <w:color w:val="auto"/>
          <w:sz w:val="32"/>
          <w:szCs w:val="32"/>
        </w:rPr>
        <w:t>④</w:t>
      </w:r>
      <w:r>
        <w:rPr>
          <w:rFonts w:hint="default" w:ascii="Times New Roman" w:hAnsi="Times New Roman" w:eastAsia="仿宋_GB2312" w:cs="Times New Roman"/>
          <w:b w:val="0"/>
          <w:bCs/>
          <w:color w:val="auto"/>
          <w:sz w:val="32"/>
          <w:szCs w:val="32"/>
        </w:rPr>
        <w:fldChar w:fldCharType="end"/>
      </w:r>
      <w:r>
        <w:rPr>
          <w:rFonts w:hint="default" w:ascii="Times New Roman" w:hAnsi="Times New Roman" w:eastAsia="仿宋_GB2312" w:cs="Times New Roman"/>
          <w:b w:val="0"/>
          <w:bCs/>
          <w:color w:val="auto"/>
          <w:sz w:val="32"/>
          <w:szCs w:val="32"/>
        </w:rPr>
        <w:t xml:space="preserve"> 社会实践一般为志愿服务、课题调查研究等，撰写一篇及以上调查报告，由参加社会实践主办部门出具证明进行考核。科研实践考核通过计 1 学分，教学实践、管理实践或社会实践考核通过计 1 学分。</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zh-CN" w:eastAsia="zh-CN" w:bidi="ar-SA"/>
        </w:rPr>
      </w:pPr>
      <w:bookmarkStart w:id="9" w:name="_Toc122510658"/>
      <w:r>
        <w:rPr>
          <w:rFonts w:hint="default" w:ascii="Times New Roman" w:hAnsi="Times New Roman" w:eastAsia="仿宋" w:cs="Times New Roman"/>
          <w:b w:val="0"/>
          <w:bCs/>
          <w:color w:val="auto"/>
          <w:sz w:val="32"/>
          <w:lang w:val="zh-CN"/>
        </w:rPr>
        <w:t>7.</w:t>
      </w:r>
      <w:r>
        <w:rPr>
          <w:rFonts w:hint="default" w:ascii="Times New Roman" w:hAnsi="Times New Roman" w:eastAsia="仿宋_GB2312" w:cs="Times New Roman"/>
          <w:b w:val="0"/>
          <w:bCs/>
          <w:snapToGrid w:val="0"/>
          <w:color w:val="auto"/>
          <w:sz w:val="32"/>
          <w:szCs w:val="32"/>
          <w:lang w:val="zh-CN" w:eastAsia="zh-CN" w:bidi="ar-SA"/>
        </w:rPr>
        <w:t>学科综合考试与中期考核</w:t>
      </w:r>
      <w:bookmarkEnd w:id="9"/>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在课程学习结束后，博士生要举行学科综合考试，检查博士生是否掌握本学科坚实宽广的基础理论和系统深入的专业知识，是确定能否进入论文阶段的重要依据。学科综合考试一般安排在第四学期，综合考试由 3－5 位本学科及相关学科的教授、副教授（或相当职称）组成的考试委员会主持。在综合考试的基础上进行中期考核，一般安排在第四学期，具体要求按照学校最新文件执行。</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zh-CN" w:eastAsia="zh-CN" w:bidi="ar-SA"/>
        </w:rPr>
      </w:pPr>
      <w:bookmarkStart w:id="10" w:name="_Toc122510659"/>
      <w:r>
        <w:rPr>
          <w:rFonts w:hint="default" w:ascii="Times New Roman" w:hAnsi="Times New Roman" w:eastAsia="仿宋" w:cs="Times New Roman"/>
          <w:b w:val="0"/>
          <w:bCs/>
          <w:color w:val="auto"/>
          <w:sz w:val="32"/>
          <w:lang w:val="zh-CN"/>
        </w:rPr>
        <w:t>8.</w:t>
      </w:r>
      <w:r>
        <w:rPr>
          <w:rFonts w:hint="default" w:ascii="Times New Roman" w:hAnsi="Times New Roman" w:eastAsia="仿宋_GB2312" w:cs="Times New Roman"/>
          <w:b w:val="0"/>
          <w:bCs/>
          <w:snapToGrid w:val="0"/>
          <w:color w:val="auto"/>
          <w:sz w:val="32"/>
          <w:szCs w:val="32"/>
          <w:lang w:val="zh-CN" w:eastAsia="zh-CN" w:bidi="ar-SA"/>
        </w:rPr>
        <w:t>科学研究与论文</w:t>
      </w:r>
      <w:bookmarkEnd w:id="10"/>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文献综述与开题</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根据科研创新的培养要求，博士研究生在学位论文开题论证前应广泛阅读本学科国内外相关文献，至少阅读 100 篇研究文献，其中外文文献应占 50%以上，并撰写专业文献综述。博士学位论文选题应于本学科研究方向内容一致，应强调同科技发展、经济建设和社会进步发展密切联系，有重要的理论意义和实际意义，要体现学科领域的前沿性、先进性和应用性。鼓励研究生在导师指导下自主选题。明确研究方向，收集资料，确定研究课题，开展预研工作，撰写文献综述和开题报告，并向博士生指导小组做论文开题报告，听取意见，拟定具体的工作计划。支持博士生选择具有一定风险性的学科前沿领域课题或对国家经济建设、科技进步和社会发展具有重要意义的课题开展研究。研究生应尽早确定研究课题，尽早开展科学研究，尽早进入实验室，一般应在第二学期结束前完成论文选题和学位论文开题论证，最迟不得超过第三学期末。论文选题必须具有先进性和前沿性，要有重要的理论意义和应用价值；文献综述和开题报告经导师修改、审定后，交学院存档。学位论文选题一经通过论证，应严格认真执行，如有更改，应重新论证。论文开题报告的具体要求按照学校最新文件执行。</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（2）</w:t>
      </w:r>
      <w:r>
        <w:rPr>
          <w:rFonts w:hint="default" w:ascii="Times New Roman" w:hAnsi="Times New Roman" w:eastAsia="仿宋_GB2312" w:cs="Times New Roman"/>
          <w:b w:val="0"/>
          <w:bCs/>
          <w:color w:val="auto"/>
          <w:sz w:val="32"/>
          <w:szCs w:val="32"/>
        </w:rPr>
        <w:t>论文定稿</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博士学位论文应表明作者具有本学科坚实宽广的基础理论、系统深入的专门知识和相关学科知识；具有独立进行科学研究的能力；并在科学或专门技术工作中取得了创造性成果。博士生在完成论文研究的实验内容、资料整理、图表制作、理论分析等工作后，写出论文初稿，经导师审阅、修改后，形成正式论文，按《福建农林大学研究生学位论文格式统一要求》或学校最新文件打印成册。</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（3）</w:t>
      </w:r>
      <w:r>
        <w:rPr>
          <w:rFonts w:hint="default" w:ascii="Times New Roman" w:hAnsi="Times New Roman" w:eastAsia="仿宋_GB2312" w:cs="Times New Roman"/>
          <w:b w:val="0"/>
          <w:bCs/>
          <w:color w:val="auto"/>
          <w:sz w:val="32"/>
          <w:szCs w:val="32"/>
        </w:rPr>
        <w:t>毕业与学位授予</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fldChar w:fldCharType="begin"/>
      </w:r>
      <w:r>
        <w:rPr>
          <w:rFonts w:hint="default" w:ascii="Times New Roman" w:hAnsi="Times New Roman" w:eastAsia="仿宋" w:cs="Times New Roman"/>
          <w:b w:val="0"/>
          <w:bCs/>
          <w:color w:val="auto"/>
          <w:spacing w:val="-8"/>
          <w:sz w:val="32"/>
          <w:szCs w:val="32"/>
        </w:rPr>
        <w:instrText xml:space="preserve"> = 1 \* GB3 </w:instrText>
      </w:r>
      <w:r>
        <w:rPr>
          <w:rFonts w:hint="default" w:ascii="Times New Roman" w:hAnsi="Times New Roman" w:eastAsia="仿宋" w:cs="Times New Roman"/>
          <w:b w:val="0"/>
          <w:bCs/>
          <w:color w:val="auto"/>
          <w:spacing w:val="-8"/>
          <w:sz w:val="32"/>
          <w:szCs w:val="32"/>
        </w:rPr>
        <w:fldChar w:fldCharType="separate"/>
      </w:r>
      <w:r>
        <w:rPr>
          <w:rFonts w:hint="default" w:ascii="Times New Roman" w:hAnsi="Times New Roman" w:eastAsia="仿宋" w:cs="Times New Roman"/>
          <w:b w:val="0"/>
          <w:bCs/>
          <w:color w:val="auto"/>
          <w:spacing w:val="-8"/>
          <w:sz w:val="32"/>
          <w:szCs w:val="32"/>
        </w:rPr>
        <w:t>①</w:t>
      </w:r>
      <w:r>
        <w:rPr>
          <w:rFonts w:hint="default" w:ascii="Times New Roman" w:hAnsi="Times New Roman" w:eastAsia="仿宋" w:cs="Times New Roman"/>
          <w:b w:val="0"/>
          <w:bCs/>
          <w:color w:val="auto"/>
          <w:spacing w:val="-8"/>
          <w:sz w:val="32"/>
          <w:szCs w:val="32"/>
        </w:rPr>
        <w:fldChar w:fldCharType="end"/>
      </w:r>
      <w:r>
        <w:rPr>
          <w:rFonts w:hint="default" w:ascii="Times New Roman" w:hAnsi="Times New Roman" w:eastAsia="仿宋" w:cs="Times New Roman"/>
          <w:b w:val="0"/>
          <w:bCs/>
          <w:color w:val="auto"/>
          <w:spacing w:val="-8"/>
          <w:sz w:val="32"/>
          <w:szCs w:val="32"/>
        </w:rPr>
        <w:t xml:space="preserve"> </w:t>
      </w:r>
      <w:r>
        <w:rPr>
          <w:rFonts w:hint="default" w:ascii="Times New Roman" w:hAnsi="Times New Roman" w:eastAsia="仿宋_GB2312" w:cs="Times New Roman"/>
          <w:b w:val="0"/>
          <w:bCs/>
          <w:color w:val="auto"/>
          <w:sz w:val="32"/>
          <w:szCs w:val="32"/>
        </w:rPr>
        <w:t>学位论文要求</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进行科学研究，撰写学位论文，是培养博士研究生创新能力的主要途径，是提高博士研究生培养质量的关键环节，应在导师的指导下由博士生本人独立完成。博士研究生在学习期间，至少用二年的时间进行学位论文工作。博士生学位论文应参加预答辩，具体要求按学校相关最新文件执行。学位论文答辩的申请程序和时间安排以及具体要求按照学校最新文件执行。</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fldChar w:fldCharType="begin"/>
      </w:r>
      <w:r>
        <w:rPr>
          <w:rFonts w:hint="default" w:ascii="Times New Roman" w:hAnsi="Times New Roman" w:eastAsia="仿宋" w:cs="Times New Roman"/>
          <w:b w:val="0"/>
          <w:bCs/>
          <w:color w:val="auto"/>
          <w:spacing w:val="-8"/>
          <w:sz w:val="32"/>
          <w:szCs w:val="32"/>
        </w:rPr>
        <w:instrText xml:space="preserve"> = 2 \* GB3 </w:instrText>
      </w:r>
      <w:r>
        <w:rPr>
          <w:rFonts w:hint="default" w:ascii="Times New Roman" w:hAnsi="Times New Roman" w:eastAsia="仿宋" w:cs="Times New Roman"/>
          <w:b w:val="0"/>
          <w:bCs/>
          <w:color w:val="auto"/>
          <w:spacing w:val="-8"/>
          <w:sz w:val="32"/>
          <w:szCs w:val="32"/>
        </w:rPr>
        <w:fldChar w:fldCharType="separate"/>
      </w:r>
      <w:r>
        <w:rPr>
          <w:rFonts w:hint="default" w:ascii="Times New Roman" w:hAnsi="Times New Roman" w:eastAsia="仿宋" w:cs="Times New Roman"/>
          <w:b w:val="0"/>
          <w:bCs/>
          <w:color w:val="auto"/>
          <w:spacing w:val="-8"/>
          <w:sz w:val="32"/>
          <w:szCs w:val="32"/>
        </w:rPr>
        <w:t>②</w:t>
      </w:r>
      <w:r>
        <w:rPr>
          <w:rFonts w:hint="default" w:ascii="Times New Roman" w:hAnsi="Times New Roman" w:eastAsia="仿宋" w:cs="Times New Roman"/>
          <w:b w:val="0"/>
          <w:bCs/>
          <w:color w:val="auto"/>
          <w:spacing w:val="-8"/>
          <w:sz w:val="32"/>
          <w:szCs w:val="32"/>
        </w:rPr>
        <w:fldChar w:fldCharType="end"/>
      </w:r>
      <w:r>
        <w:rPr>
          <w:rFonts w:hint="default" w:ascii="Times New Roman" w:hAnsi="Times New Roman" w:eastAsia="仿宋" w:cs="Times New Roman"/>
          <w:b w:val="0"/>
          <w:bCs/>
          <w:color w:val="auto"/>
          <w:spacing w:val="-8"/>
          <w:sz w:val="32"/>
          <w:szCs w:val="32"/>
        </w:rPr>
        <w:t xml:space="preserve"> </w:t>
      </w:r>
      <w:r>
        <w:rPr>
          <w:rFonts w:hint="default" w:ascii="Times New Roman" w:hAnsi="Times New Roman" w:eastAsia="仿宋_GB2312" w:cs="Times New Roman"/>
          <w:b w:val="0"/>
          <w:bCs/>
          <w:color w:val="auto"/>
          <w:sz w:val="32"/>
          <w:szCs w:val="32"/>
        </w:rPr>
        <w:t>学术论文发表</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博士研究生在学期间发表论文具体要求按学校最新文件执行。</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fldChar w:fldCharType="begin"/>
      </w:r>
      <w:r>
        <w:rPr>
          <w:rFonts w:hint="default" w:ascii="Times New Roman" w:hAnsi="Times New Roman" w:eastAsia="仿宋" w:cs="Times New Roman"/>
          <w:b w:val="0"/>
          <w:bCs/>
          <w:color w:val="auto"/>
          <w:spacing w:val="-8"/>
          <w:sz w:val="32"/>
          <w:szCs w:val="32"/>
        </w:rPr>
        <w:instrText xml:space="preserve"> = 3 \* GB3 </w:instrText>
      </w:r>
      <w:r>
        <w:rPr>
          <w:rFonts w:hint="default" w:ascii="Times New Roman" w:hAnsi="Times New Roman" w:eastAsia="仿宋" w:cs="Times New Roman"/>
          <w:b w:val="0"/>
          <w:bCs/>
          <w:color w:val="auto"/>
          <w:spacing w:val="-8"/>
          <w:sz w:val="32"/>
          <w:szCs w:val="32"/>
        </w:rPr>
        <w:fldChar w:fldCharType="separate"/>
      </w:r>
      <w:r>
        <w:rPr>
          <w:rFonts w:hint="default" w:ascii="Times New Roman" w:hAnsi="Times New Roman" w:eastAsia="仿宋" w:cs="Times New Roman"/>
          <w:b w:val="0"/>
          <w:bCs/>
          <w:color w:val="auto"/>
          <w:spacing w:val="-8"/>
          <w:sz w:val="32"/>
          <w:szCs w:val="32"/>
        </w:rPr>
        <w:t>③</w:t>
      </w:r>
      <w:r>
        <w:rPr>
          <w:rFonts w:hint="default" w:ascii="Times New Roman" w:hAnsi="Times New Roman" w:eastAsia="仿宋" w:cs="Times New Roman"/>
          <w:b w:val="0"/>
          <w:bCs/>
          <w:color w:val="auto"/>
          <w:spacing w:val="-8"/>
          <w:sz w:val="32"/>
          <w:szCs w:val="32"/>
        </w:rPr>
        <w:fldChar w:fldCharType="end"/>
      </w:r>
      <w:r>
        <w:rPr>
          <w:rFonts w:hint="default" w:ascii="Times New Roman" w:hAnsi="Times New Roman" w:eastAsia="仿宋" w:cs="Times New Roman"/>
          <w:b w:val="0"/>
          <w:bCs/>
          <w:color w:val="auto"/>
          <w:spacing w:val="-8"/>
          <w:sz w:val="32"/>
          <w:szCs w:val="32"/>
        </w:rPr>
        <w:t xml:space="preserve"> </w:t>
      </w:r>
      <w:r>
        <w:rPr>
          <w:rFonts w:hint="default" w:ascii="Times New Roman" w:hAnsi="Times New Roman" w:eastAsia="仿宋_GB2312" w:cs="Times New Roman"/>
          <w:b w:val="0"/>
          <w:bCs/>
          <w:color w:val="auto"/>
          <w:sz w:val="32"/>
          <w:szCs w:val="32"/>
        </w:rPr>
        <w:t>学位其他要求</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博士研究生申请学位前，需达到《福建农林大学生命科学学院研究生其它重要创新成果认定方案（最新版）》规定中博士生取得学位发表高质量论文和其它创新成果等相关规定。</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发表学术论文必须与所读学科专业内容相关，并且是学位论文的研究内容，研究生导师须为通讯作者（或者指导教师小组成员为通讯作者，导师为其中作者之一），论文第一署名单位为福建农林大学或福建农林大学生命科学学院（含福建农林大学生命科学学院下属实验室及参与共建的实验室），其他按照学校最新文件要求执行。</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pacing w:val="-8"/>
          <w:sz w:val="32"/>
        </w:rPr>
      </w:pPr>
      <w:bookmarkStart w:id="11" w:name="_Toc122510660"/>
      <w:r>
        <w:rPr>
          <w:rFonts w:hint="default" w:ascii="Times New Roman" w:hAnsi="Times New Roman" w:eastAsia="仿宋" w:cs="Times New Roman"/>
          <w:b w:val="0"/>
          <w:bCs/>
          <w:color w:val="auto"/>
          <w:sz w:val="32"/>
        </w:rPr>
        <w:t>9.</w:t>
      </w:r>
      <w:r>
        <w:rPr>
          <w:rFonts w:hint="default" w:ascii="Times New Roman" w:hAnsi="Times New Roman" w:eastAsia="仿宋_GB2312" w:cs="Times New Roman"/>
          <w:b w:val="0"/>
          <w:bCs/>
          <w:snapToGrid w:val="0"/>
          <w:color w:val="auto"/>
          <w:sz w:val="32"/>
          <w:szCs w:val="32"/>
          <w:lang w:val="zh-CN" w:eastAsia="zh-CN" w:bidi="ar-SA"/>
        </w:rPr>
        <w:t>本学科主要文献和书目</w:t>
      </w:r>
      <w:bookmarkEnd w:id="11"/>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Nature、Science、Cell、PNAS、Embo J.、Plant Cell、 Gene and Development 等各个方向一区的杂志。书目：Molecular Cloning（分子克隆）， Biochemistry &amp; Molecular Biology of Plants(Buchanan, Gruissen, Jones), 植物生物化学与分子生物学（中文版），Gene X (基因 X）（Benjamin Lewin), 以及各个方向主要教科书。</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szCs w:val="32"/>
        </w:rPr>
      </w:pPr>
      <w:bookmarkStart w:id="12" w:name="_Toc122510661"/>
      <w:r>
        <w:rPr>
          <w:rFonts w:hint="default" w:ascii="楷体_GB2312" w:hAnsi="楷体_GB2312" w:eastAsia="楷体_GB2312" w:cs="楷体_GB2312"/>
          <w:b w:val="0"/>
          <w:bCs/>
          <w:color w:val="auto"/>
          <w:sz w:val="32"/>
          <w:szCs w:val="32"/>
        </w:rPr>
        <w:t>（三）基本条件</w:t>
      </w:r>
      <w:bookmarkEnd w:id="12"/>
      <w:r>
        <w:rPr>
          <w:rFonts w:hint="default" w:ascii="楷体_GB2312" w:hAnsi="楷体_GB2312" w:eastAsia="楷体_GB2312" w:cs="楷体_GB2312"/>
          <w:b w:val="0"/>
          <w:bCs/>
          <w:color w:val="auto"/>
          <w:sz w:val="32"/>
          <w:szCs w:val="32"/>
        </w:rPr>
        <w:t xml:space="preserve"> </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13" w:name="_Toc122510662"/>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en-US" w:eastAsia="zh-CN" w:bidi="ar-SA"/>
        </w:rPr>
        <w:t>培养方向</w:t>
      </w:r>
      <w:bookmarkEnd w:id="13"/>
      <w:r>
        <w:rPr>
          <w:rFonts w:hint="default" w:ascii="Times New Roman" w:hAnsi="Times New Roman" w:eastAsia="仿宋_GB2312" w:cs="Times New Roman"/>
          <w:b w:val="0"/>
          <w:bCs/>
          <w:snapToGrid w:val="0"/>
          <w:color w:val="auto"/>
          <w:sz w:val="32"/>
          <w:szCs w:val="32"/>
          <w:lang w:val="en-US" w:eastAsia="zh-CN" w:bidi="ar-SA"/>
        </w:rPr>
        <w:t xml:space="preserve"> </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坚持以习近平新时代</w:t>
      </w:r>
      <w:r>
        <w:rPr>
          <w:rFonts w:hint="eastAsia" w:ascii="Times New Roman" w:hAnsi="Times New Roman" w:eastAsia="仿宋_GB2312" w:cs="Times New Roman"/>
          <w:b w:val="0"/>
          <w:bCs/>
          <w:color w:val="auto"/>
          <w:sz w:val="32"/>
          <w:szCs w:val="32"/>
          <w:lang w:eastAsia="zh-CN"/>
        </w:rPr>
        <w:t>中国特色社会主义思想</w:t>
      </w:r>
      <w:r>
        <w:rPr>
          <w:rFonts w:hint="default" w:ascii="Times New Roman" w:hAnsi="Times New Roman" w:eastAsia="仿宋_GB2312" w:cs="Times New Roman"/>
          <w:b w:val="0"/>
          <w:bCs/>
          <w:color w:val="auto"/>
          <w:sz w:val="32"/>
          <w:szCs w:val="32"/>
        </w:rPr>
        <w:t>为指导，以立德育人、服务社会为己任，主动融入福建省经济社会发展的重大战略实践，围绕国家治理体系和治理能力现代化的需求，紧密结合学校生物学（农林方向）学科专业优势以及对台区位优势，秉承“追求卓越、追求完美、追求和谐”的理念，坚持扎根基层、政学研紧密结合、多学科协同推进，着实施“海西建设”人才培养工程。现已形成本学科涵盖以下六个研究方向：生物化学与分子生物学、微生物学、细胞生物学、遗传学、动物学、蜂学。</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rPr>
      </w:pPr>
      <w:bookmarkStart w:id="14" w:name="_Toc122510663"/>
      <w:r>
        <w:rPr>
          <w:rFonts w:hint="default" w:ascii="Times New Roman" w:hAnsi="Times New Roman" w:eastAsia="仿宋" w:cs="Times New Roman"/>
          <w:b w:val="0"/>
          <w:bCs/>
          <w:color w:val="auto"/>
          <w:sz w:val="32"/>
        </w:rPr>
        <w:t>2.</w:t>
      </w:r>
      <w:r>
        <w:rPr>
          <w:rFonts w:hint="default" w:ascii="Times New Roman" w:hAnsi="Times New Roman" w:eastAsia="仿宋_GB2312" w:cs="Times New Roman"/>
          <w:b w:val="0"/>
          <w:bCs/>
          <w:snapToGrid w:val="0"/>
          <w:color w:val="auto"/>
          <w:sz w:val="32"/>
          <w:szCs w:val="32"/>
          <w:lang w:val="en-US" w:eastAsia="zh-CN" w:bidi="ar-SA"/>
        </w:rPr>
        <w:t>师资队伍</w:t>
      </w:r>
      <w:bookmarkEnd w:id="14"/>
      <w:r>
        <w:rPr>
          <w:rFonts w:hint="default" w:ascii="Times New Roman" w:hAnsi="Times New Roman" w:eastAsia="仿宋_GB2312" w:cs="Times New Roman"/>
          <w:b w:val="0"/>
          <w:bCs/>
          <w:snapToGrid w:val="0"/>
          <w:color w:val="auto"/>
          <w:sz w:val="32"/>
          <w:szCs w:val="32"/>
          <w:lang w:val="en-US" w:eastAsia="zh-CN" w:bidi="ar-SA"/>
        </w:rPr>
        <w:t xml:space="preserve"> </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围绕学科重点发展方向和人才培养目标，加大师资引进力度，完善引人用人体制机制，优化人才成长环境，逐步建成一支高水平的师资队伍。学科现有专任教师88名，其中博士生导师24名，硕士生导师36名，年龄45岁以下占80.6%，高级职称比例达到50.1%，拥有博士学位教师比例达97.7%，留学回国教师比例61.4%，国家级人才计划入选者7人次，有突出贡献中青年专家1名，全国模范教师1名，2个省级人才培养创新实验区，2支省级教学团队。 </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根据生物学研究及人才培养须紧密结合实践的特点，组建一支由兼职教授、校外研究生导师、课程教师组成的校外师资队伍，与专任教师实现优势互补。</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lang w:val="zh-CN"/>
        </w:rPr>
      </w:pPr>
      <w:bookmarkStart w:id="15" w:name="_Toc122510664"/>
      <w:r>
        <w:rPr>
          <w:rFonts w:hint="default" w:ascii="Times New Roman" w:hAnsi="Times New Roman" w:eastAsia="仿宋" w:cs="Times New Roman"/>
          <w:b w:val="0"/>
          <w:bCs/>
          <w:color w:val="auto"/>
          <w:sz w:val="32"/>
        </w:rPr>
        <w:t>3.</w:t>
      </w:r>
      <w:r>
        <w:rPr>
          <w:rFonts w:hint="default" w:ascii="Times New Roman" w:hAnsi="Times New Roman" w:eastAsia="仿宋_GB2312" w:cs="Times New Roman"/>
          <w:b w:val="0"/>
          <w:bCs/>
          <w:snapToGrid w:val="0"/>
          <w:color w:val="auto"/>
          <w:sz w:val="32"/>
          <w:szCs w:val="32"/>
          <w:lang w:val="zh-CN" w:eastAsia="zh-CN" w:bidi="ar-SA"/>
        </w:rPr>
        <w:t>科学研究</w:t>
      </w:r>
      <w:bookmarkEnd w:id="15"/>
      <w:r>
        <w:rPr>
          <w:rFonts w:hint="default" w:ascii="Times New Roman" w:hAnsi="Times New Roman" w:eastAsia="仿宋_GB2312" w:cs="Times New Roman"/>
          <w:b w:val="0"/>
          <w:bCs/>
          <w:snapToGrid w:val="0"/>
          <w:color w:val="auto"/>
          <w:sz w:val="32"/>
          <w:szCs w:val="32"/>
          <w:lang w:val="zh-CN" w:eastAsia="zh-CN" w:bidi="ar-SA"/>
        </w:rPr>
        <w:t xml:space="preserve"> </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（1）</w:t>
      </w:r>
      <w:r>
        <w:rPr>
          <w:rFonts w:hint="default" w:ascii="Times New Roman" w:hAnsi="Times New Roman" w:eastAsia="仿宋_GB2312" w:cs="Times New Roman"/>
          <w:b w:val="0"/>
          <w:bCs/>
          <w:color w:val="auto"/>
          <w:sz w:val="32"/>
          <w:szCs w:val="32"/>
        </w:rPr>
        <w:t>科研创新能力获提升</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学院不断提升科研育人氛围，稳步推进科研工作。2022年共有40个项目获省部级以上项目立项，其中国家自然科学基金项目11项（重点项目1项，优秀青年科学基金1项，面上项目7项，青年项目2项）；中央引导地方科技发展基金项目2项；农业农村部岗位科学家项目1项；福建省科技重大专项专题项目4项；广西科技重大专项项目1项；福建省杰出青年基金项目2项；福建省引导性科技计划项目2项；福建省自然科学基金项目16项（重点项目2项；面上联合项目13项；面上非联合项目1项）；福建省科技特派员后补助项目1项；其它省级项目1项。纵向科研项目经费共计2229.5万元，横向科研项目经费134万元。学院教师以第一作者或通讯作者在包括Nature Genetics、Nature communication、Plant Cell、Current biology、New Phytologist、JIPB、The Plant Journal、Plant Cell and Environment、ISME J、Journal of Hazardous Materials、Journal of Biological Chemistry、Journal of Experimental Botany等国内外知名学术期刊上发表高水平研究论文100余篇。科研成果获福建省科技进步奖二等奖2项。</w:t>
      </w:r>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pacing w:val="-8"/>
          <w:sz w:val="32"/>
          <w:szCs w:val="32"/>
        </w:rPr>
        <w:t>（2）</w:t>
      </w:r>
      <w:bookmarkStart w:id="16" w:name="bookmark0"/>
      <w:r>
        <w:rPr>
          <w:rFonts w:hint="default" w:ascii="Times New Roman" w:hAnsi="Times New Roman" w:eastAsia="仿宋_GB2312" w:cs="Times New Roman"/>
          <w:b w:val="0"/>
          <w:bCs/>
          <w:color w:val="auto"/>
          <w:sz w:val="32"/>
          <w:szCs w:val="32"/>
        </w:rPr>
        <w:t>成果转化与社会服务成效显著</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种业和特色良种选育及高效安全种养技术方面，全面加强种业创新工作，为福建省致力提升种业创新核心竞争力贡献力量。以学校成立种业创新研究院为契机，学位点充分整合学院从事种业研究的科技及人才资源，发挥学院在食用菌、百香果、菠萝等在种业创新研究领域的已有优势，成立了食用菌种业创新团队、百香果菠萝种业创新团队，全面加强种业科技的原始创新，积极开展银耳、杏鲍菇、海鲜菇、金针菇、黑木耳、百香果和菠萝等新品种选育和福建省特色优势食用菌工厂化专用品种及关键技术攻关，2022年获得农业农村部岗位科学家项目、中央引导地方科技发展基金项目、福建省科技重大专项专题项目、福建省引导性科技计划项目、广西科技重大专项项目、福建省科技特派员后补助项目等项目的资助共计870余万元。</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福建农林大学（古田）菌业研究院先后建设“福建省协同创新院食用菌（古田）分院”、 “福建省专业学位研究生联合培养示范基地”、 “福建省食用菌产业技术创新研究院”等；研究院团队在11省份，31县（市、区）开展技术推广工作；组织培训70余期，学员5032人次；为众多山区、革命老区注入了稳定的产业力量，以产业带动形式提供就业岗位4257个。莅临参观次数达300多次，累计参观人数达3500余人次，研究院在促进古田县食用菌产业转型升级，在产学研对接方面，取得了一定的成效，影响初步显现。相关案例入选教育部、科技部扶贫典型案例。</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菌草技术是“以草代木”发展起来的中国特有技术。1997年被列为闽宁对口扶贫协作项目，助力国家脱贫攻坚。2002年，福建农林大学获批创建菌草科学实验室。长期以来，学校和学院积极推进菌草技术研究和推广应用，目前已从“以草代木”栽培食用菌，拓展到菌草生态治理、菌草菌物饲料、菌草生物质能源与材料开发等领域，形成菌草综合开发利用技术体系，已经推广到全球100多个国家和地区，给许多发展中国家人民带去了希望。2021年底成立菌草科学与技术研究院，着力构建菌草科学与技术体系，推动“菌草学”新兴交叉学科建设。由林占熺研究员担任执行院长，同时，成立学术委员会作为菌草科学研究及产业发展的咨询指导部门，由中科院院士谢联辉担任主任。同时，学校还发挥学科优势，融合生物学、生态学、畜牧学、林学、草学、农业工程、林业工程等多个学科和有关国家级创新平台，推动菌草种质资源创新联合攻关，让菌草在服务国家战略和新福建建设中发挥更大作用。扎实推进菌草科技和产业高质量发展，努力把这个品牌擦得更亮、叫得更响。主动服务大局，健全完善菌草援外机制，提升菌草援外能力，为“一带一路”沿线国家和地区共同发展持续贡献福建力量。创新体制机制，有效整合校内外资源，争取国家部委和国家科研院所、高校的支持，加强基础研究、关键技术攻关和产业化推广应用，构建更加健全的菌草科学与技术体系，为菌草事业高质量发展提供有力支撑。2022年获得福建省科技重大专项专题项目、福建省杰出青年基金项目、福建省自然基金引导性项目等资助共计750余万元。菌草科学与技术研究院报送的《高山王国莱索托的减贫惠民“幸福草”——福建农林大学海外援助“菌草”推广案例》入选第三届全球减贫案例征集活动获奖案例，福建省共有10个案例入选。</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农业重大病害防控技术领域不畏艰难，围绕“福建省水稻重大病虫害绿色防控技术研发及应用”进行攻关，助力我国及我省重要农作物病虫害防治技术创新，有效整合福建农林大学生命科学学院、福建省农业科学院水稻研究所、闽江学院、福建省农业科学院植物保护研究所和福建省福瑞华安种业科技有限公司等优势资源，加强基础研究、关键技术攻关和产业化推广应用等技术平台合作。2022年获得福建省科技重大专项专题项目、福建省引导性科技计划项目等资助共计约450余万元。</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微生物学学科影响力首次进入ESI全球前1%行列，据科睿唯安2022年1月ESI最新统计数据（数据覆盖时间2011年1月至2021年10月）显示，我校微生物学学科影响力首次进入ESI全球前1%行列，成为我校第7个进入ESI全球排名前1%的学科。此学科的SCI论文数量为481篇，被引次数为5939次，产生高被引论文3篇。全球共有585个机构进入微生物学ESI全球前1%，我校位列574。</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落实科特派制度开展上，2022年下达备案的科技特派员生科院共有30人，另外还有很多地区科特派。全院科技特派员组成不同的科技特派团积极服务于各地区，成绩斐然，多次在福建省新闻频道、易菇网等媒体网站报道。</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17" w:name="_Toc122510665"/>
      <w:r>
        <w:rPr>
          <w:rFonts w:hint="default" w:ascii="Times New Roman" w:hAnsi="Times New Roman" w:eastAsia="仿宋" w:cs="Times New Roman"/>
          <w:b w:val="0"/>
          <w:bCs/>
          <w:color w:val="auto"/>
          <w:sz w:val="32"/>
        </w:rPr>
        <w:t>4.</w:t>
      </w:r>
      <w:r>
        <w:rPr>
          <w:rFonts w:hint="default" w:ascii="Times New Roman" w:hAnsi="Times New Roman" w:eastAsia="仿宋_GB2312" w:cs="Times New Roman"/>
          <w:b w:val="0"/>
          <w:bCs/>
          <w:snapToGrid w:val="0"/>
          <w:color w:val="auto"/>
          <w:sz w:val="32"/>
          <w:szCs w:val="32"/>
          <w:lang w:val="en-US" w:eastAsia="zh-CN" w:bidi="ar-SA"/>
        </w:rPr>
        <w:t>教学科研支</w:t>
      </w:r>
      <w:bookmarkEnd w:id="16"/>
      <w:r>
        <w:rPr>
          <w:rFonts w:hint="default" w:ascii="Times New Roman" w:hAnsi="Times New Roman" w:eastAsia="仿宋_GB2312" w:cs="Times New Roman"/>
          <w:b w:val="0"/>
          <w:bCs/>
          <w:snapToGrid w:val="0"/>
          <w:color w:val="auto"/>
          <w:sz w:val="32"/>
          <w:szCs w:val="32"/>
          <w:lang w:val="en-US" w:eastAsia="zh-CN" w:bidi="ar-SA"/>
        </w:rPr>
        <w:t>撑</w:t>
      </w:r>
      <w:bookmarkEnd w:id="17"/>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18" w:name="bookmark1"/>
      <w:bookmarkStart w:id="19" w:name="_Toc2072"/>
      <w:bookmarkStart w:id="20" w:name="_Toc9336"/>
      <w:bookmarkStart w:id="21" w:name="_Toc22259"/>
      <w:bookmarkStart w:id="22" w:name="_Toc12612"/>
      <w:bookmarkStart w:id="23" w:name="_Toc10706"/>
      <w:r>
        <w:rPr>
          <w:rFonts w:hint="default" w:ascii="Times New Roman" w:hAnsi="Times New Roman" w:eastAsia="仿宋" w:cs="Times New Roman"/>
          <w:b w:val="0"/>
          <w:bCs/>
          <w:color w:val="auto"/>
          <w:sz w:val="32"/>
          <w:szCs w:val="32"/>
          <w:lang w:val="zh-CN"/>
        </w:rPr>
        <w:t>（</w:t>
      </w:r>
      <w:r>
        <w:rPr>
          <w:rFonts w:hint="default" w:ascii="Times New Roman" w:hAnsi="Times New Roman" w:eastAsia="仿宋" w:cs="Times New Roman"/>
          <w:b w:val="0"/>
          <w:bCs/>
          <w:color w:val="auto"/>
          <w:sz w:val="32"/>
          <w:szCs w:val="32"/>
        </w:rPr>
        <w:t>1）</w:t>
      </w:r>
      <w:r>
        <w:rPr>
          <w:rFonts w:hint="default" w:ascii="Times New Roman" w:hAnsi="Times New Roman" w:eastAsia="仿宋" w:cs="Times New Roman"/>
          <w:b w:val="0"/>
          <w:bCs/>
          <w:color w:val="auto"/>
          <w:sz w:val="32"/>
          <w:szCs w:val="32"/>
          <w:lang w:val="zh-CN"/>
        </w:rPr>
        <w:t>教学科研平台体系较完备，满足学位</w:t>
      </w:r>
      <w:bookmarkEnd w:id="18"/>
      <w:r>
        <w:rPr>
          <w:rFonts w:hint="default" w:ascii="Times New Roman" w:hAnsi="Times New Roman" w:eastAsia="仿宋" w:cs="Times New Roman"/>
          <w:b w:val="0"/>
          <w:bCs/>
          <w:color w:val="auto"/>
          <w:sz w:val="32"/>
          <w:szCs w:val="32"/>
        </w:rPr>
        <w:t>点教学科研和人才培养工作。</w:t>
      </w:r>
      <w:r>
        <w:rPr>
          <w:rFonts w:hint="default" w:ascii="Times New Roman" w:hAnsi="Times New Roman" w:eastAsia="仿宋_GB2312" w:cs="Times New Roman"/>
          <w:b w:val="0"/>
          <w:bCs/>
          <w:snapToGrid w:val="0"/>
          <w:color w:val="auto"/>
          <w:sz w:val="32"/>
          <w:szCs w:val="32"/>
          <w:lang w:val="en-US" w:eastAsia="zh-CN" w:bidi="ar-SA"/>
        </w:rPr>
        <w:t>拥有1个国家菌草工程中心，1个菌草技术国际科技合作基地，1 个生物农药与化学生物学教育部重点实验室，2个福建省重点实验室，1个福建省高校重点实验室，1个福建省工程技术研究中心，1个国家食用菌品种改良中心福建分中心等8个国家级及省部级科研平台。这些平台为学位点的教学科研提供了良好的基础和条件。</w:t>
      </w:r>
      <w:bookmarkEnd w:id="19"/>
      <w:bookmarkEnd w:id="20"/>
      <w:bookmarkEnd w:id="21"/>
      <w:bookmarkEnd w:id="22"/>
      <w:bookmarkEnd w:id="23"/>
    </w:p>
    <w:p>
      <w:pPr>
        <w:pageBreakBefore w:val="0"/>
        <w:widowControl/>
        <w:kinsoku w:val="0"/>
        <w:wordWrap/>
        <w:overflowPunct/>
        <w:topLinePunct w:val="0"/>
        <w:autoSpaceDE w:val="0"/>
        <w:autoSpaceDN w:val="0"/>
        <w:bidi w:val="0"/>
        <w:adjustRightInd w:val="0"/>
        <w:snapToGrid w:val="0"/>
        <w:spacing w:line="560" w:lineRule="exact"/>
        <w:ind w:left="10" w:leftChars="5" w:right="15" w:rightChars="7"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（2）教学科研设施条件较好。</w:t>
      </w:r>
      <w:r>
        <w:rPr>
          <w:rFonts w:hint="default" w:ascii="Times New Roman" w:hAnsi="Times New Roman" w:eastAsia="仿宋_GB2312" w:cs="Times New Roman"/>
          <w:b w:val="0"/>
          <w:bCs/>
          <w:color w:val="auto"/>
          <w:sz w:val="32"/>
          <w:szCs w:val="32"/>
        </w:rPr>
        <w:t>现有一栋独立的生命科学大楼及众多的综合科研平台，其中实验室总面积12000平方米。拥有共聚焦显微镜、流式细胞分析分选仪、核磁共振仪、气相色谱-质谱联用仪和三重四极杆型气相色谱质谱联用仪等高端生物学仪器设备及台套数充足的常规设备，设备总值约3600万元。同时，学校拥有足够数量的专业图书资料和各类数据库，提供便捷的多样化校园网络服务。为每一位学生提供个人帐号，可以便捷上网和查阅各类学术文献。</w:t>
      </w:r>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24" w:name="_Toc122510666"/>
      <w:r>
        <w:rPr>
          <w:rFonts w:hint="default" w:ascii="Times New Roman" w:hAnsi="Times New Roman" w:eastAsia="仿宋" w:cs="Times New Roman"/>
          <w:b w:val="0"/>
          <w:bCs/>
          <w:color w:val="auto"/>
          <w:sz w:val="32"/>
        </w:rPr>
        <w:t>5.</w:t>
      </w:r>
      <w:r>
        <w:rPr>
          <w:rFonts w:hint="default" w:ascii="Times New Roman" w:hAnsi="Times New Roman" w:eastAsia="仿宋_GB2312" w:cs="Times New Roman"/>
          <w:b w:val="0"/>
          <w:bCs/>
          <w:snapToGrid w:val="0"/>
          <w:color w:val="auto"/>
          <w:sz w:val="32"/>
          <w:szCs w:val="32"/>
          <w:lang w:val="zh-CN" w:eastAsia="zh-CN" w:bidi="ar-SA"/>
        </w:rPr>
        <w:t>资助体系</w:t>
      </w:r>
      <w:bookmarkEnd w:id="24"/>
    </w:p>
    <w:p>
      <w:pPr>
        <w:pageBreakBefore w:val="0"/>
        <w:widowControl/>
        <w:kinsoku w:val="0"/>
        <w:wordWrap/>
        <w:overflowPunct/>
        <w:topLinePunct w:val="0"/>
        <w:autoSpaceDE w:val="0"/>
        <w:autoSpaceDN w:val="0"/>
        <w:bidi w:val="0"/>
        <w:adjustRightInd w:val="0"/>
        <w:snapToGrid w:val="0"/>
        <w:spacing w:line="560" w:lineRule="exact"/>
        <w:ind w:right="15" w:rightChars="7" w:firstLine="640" w:firstLineChars="200"/>
        <w:jc w:val="both"/>
        <w:textAlignment w:val="baseline"/>
        <w:rPr>
          <w:rFonts w:hint="default" w:ascii="Times New Roman" w:hAnsi="Times New Roman" w:eastAsia="仿宋" w:cs="Times New Roman"/>
          <w:b w:val="0"/>
          <w:bCs/>
          <w:color w:val="auto"/>
          <w:sz w:val="32"/>
          <w:szCs w:val="32"/>
          <w:lang w:bidi="ar"/>
        </w:rPr>
      </w:pPr>
      <w:r>
        <w:rPr>
          <w:rFonts w:hint="default" w:ascii="Times New Roman" w:hAnsi="Times New Roman" w:eastAsia="仿宋_GB2312" w:cs="Times New Roman"/>
          <w:b w:val="0"/>
          <w:bCs/>
          <w:color w:val="auto"/>
          <w:sz w:val="32"/>
          <w:szCs w:val="32"/>
        </w:rPr>
        <w:t>为激励学生勤奋学习、努力进取，为激发学生的教育活力，在德智体美劳等方面全面发展，提高研究生培养质量，根据国家和福建省相关规定，结合学校实际，实施“严、奖”结合，加强制度建设，完善资助育人体系，进一步实现精准资助，已经形成以严家显奖学金、研究生国家奖学金、研究生学业奖学金、研究生“三助”</w:t>
      </w:r>
      <w:r>
        <w:rPr>
          <w:rFonts w:hint="default" w:ascii="Times New Roman" w:hAnsi="Times New Roman" w:eastAsia="仿宋_GB2312" w:cs="Times New Roman"/>
          <w:b w:val="0"/>
          <w:bCs/>
          <w:color w:val="auto"/>
          <w:sz w:val="32"/>
          <w:szCs w:val="32"/>
          <w:lang w:val="en-US" w:eastAsia="zh-CN"/>
        </w:rPr>
        <w:t>经费</w:t>
      </w:r>
      <w:r>
        <w:rPr>
          <w:rFonts w:hint="default" w:ascii="Times New Roman" w:hAnsi="Times New Roman" w:eastAsia="仿宋_GB2312" w:cs="Times New Roman"/>
          <w:b w:val="0"/>
          <w:bCs/>
          <w:color w:val="auto"/>
          <w:sz w:val="32"/>
          <w:szCs w:val="32"/>
        </w:rPr>
        <w:t>、国家助学贷款、研究生困难补助等构成的较为完善的研究生奖助贷体系。在学院多元丰富的学生资助资金投入体系下，建立和完善了科学的研究生培养激励机制，健全了奖优、酬劳、助困相结合的长效且多元的奖助体系。学院确保学生资助资金及时、准确、安全、有效提供给学生，做到“应助尽助”。</w:t>
      </w:r>
    </w:p>
    <w:p>
      <w:pPr>
        <w:pStyle w:val="5"/>
        <w:pageBreakBefore w:val="0"/>
        <w:widowControl/>
        <w:kinsoku w:val="0"/>
        <w:wordWrap/>
        <w:overflowPunct/>
        <w:topLinePunct w:val="0"/>
        <w:autoSpaceDE w:val="0"/>
        <w:autoSpaceDN w:val="0"/>
        <w:bidi w:val="0"/>
        <w:adjustRightInd w:val="0"/>
        <w:snapToGrid w:val="0"/>
        <w:spacing w:before="0" w:line="560" w:lineRule="exact"/>
        <w:ind w:left="315" w:leftChars="150" w:firstLine="160" w:firstLineChars="5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25" w:name="_Toc122510667"/>
      <w:r>
        <w:rPr>
          <w:rFonts w:hint="default" w:ascii="Times New Roman" w:hAnsi="Times New Roman" w:eastAsia="仿宋" w:cs="Times New Roman"/>
          <w:b w:val="0"/>
          <w:bCs/>
          <w:color w:val="auto"/>
          <w:sz w:val="32"/>
        </w:rPr>
        <w:t>6.</w:t>
      </w:r>
      <w:r>
        <w:rPr>
          <w:rFonts w:hint="default" w:ascii="Times New Roman" w:hAnsi="Times New Roman" w:eastAsia="仿宋_GB2312" w:cs="Times New Roman"/>
          <w:b w:val="0"/>
          <w:bCs/>
          <w:snapToGrid w:val="0"/>
          <w:color w:val="auto"/>
          <w:sz w:val="32"/>
          <w:szCs w:val="32"/>
          <w:lang w:val="en-US" w:eastAsia="zh-CN" w:bidi="ar-SA"/>
        </w:rPr>
        <w:t>管理服务</w:t>
      </w:r>
      <w:bookmarkEnd w:id="25"/>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2012 年，学校成立了研究生院，2013 年成立了党委研究生工作部，同时学院也对应成立了相关部门和工作机构，配备各层次工作人员队伍，构建校院二级研究生教育教学和培养管理体制。</w:t>
      </w:r>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 w:cs="Times New Roman"/>
          <w:b w:val="0"/>
          <w:bCs/>
          <w:color w:val="auto"/>
          <w:sz w:val="32"/>
          <w:szCs w:val="32"/>
          <w:lang w:bidi="ar"/>
        </w:rPr>
        <w:t>（1）</w:t>
      </w:r>
      <w:r>
        <w:rPr>
          <w:rFonts w:hint="default" w:ascii="Times New Roman" w:hAnsi="Times New Roman" w:eastAsia="仿宋_GB2312" w:cs="Times New Roman"/>
          <w:b w:val="0"/>
          <w:bCs/>
          <w:snapToGrid w:val="0"/>
          <w:color w:val="auto"/>
          <w:sz w:val="32"/>
          <w:szCs w:val="32"/>
          <w:lang w:val="en-US" w:eastAsia="zh-CN" w:bidi="ar-SA"/>
        </w:rPr>
        <w:t>工作人员落实</w:t>
      </w:r>
      <w:r>
        <w:rPr>
          <w:rFonts w:hint="default" w:ascii="Times New Roman" w:hAnsi="Times New Roman" w:eastAsia="仿宋" w:cs="Times New Roman"/>
          <w:b w:val="0"/>
          <w:bCs/>
          <w:color w:val="auto"/>
          <w:sz w:val="32"/>
          <w:szCs w:val="32"/>
          <w:lang w:bidi="ar"/>
        </w:rPr>
        <w:t>。</w:t>
      </w:r>
      <w:r>
        <w:rPr>
          <w:rFonts w:hint="default" w:ascii="Times New Roman" w:hAnsi="Times New Roman" w:eastAsia="仿宋_GB2312" w:cs="Times New Roman"/>
          <w:b w:val="0"/>
          <w:bCs/>
          <w:snapToGrid w:val="0"/>
          <w:color w:val="auto"/>
          <w:sz w:val="32"/>
          <w:szCs w:val="32"/>
          <w:lang w:val="en-US" w:eastAsia="zh-CN" w:bidi="ar-SA"/>
        </w:rPr>
        <w:t xml:space="preserve">对应校研究生院所设的各个负责学位点建设、研究生教育教学和培养管理等工作部门。学院配备了分管学位点建设与研究生教育的专职副院长1名。相应设有研究生教育办公室，负责学院学位点建设、研究生培养教育和日常教学运行管理等工作，2022年为加强研究生教学管理又专门新增研究生教育办公室主任1名，另有研究生教务人员（含兼职）3名；学院党委配备分管学生（含研究生）思想政治教育工作和学生事务管理的专职副书记1名。相应设有党委研究生教育管理工作部，负责研究生思想政治教育和研究生事务管理。配备研究生辅导员4名，同时配备研究生班主任6名。同时，对应学校所设的学位评定委员会、教学指导委员会、专业学位教育指导委员会、研究生招生工作领导小组和学位授权点评估工作领导小组等工作机构。学院也相应成立学院学位评定分委员会、教授委员会等工作机构。保障研究生教育培养各环节上下联动，高效运行。 </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（2）</w:t>
      </w:r>
      <w:r>
        <w:rPr>
          <w:rFonts w:hint="default" w:ascii="Times New Roman" w:hAnsi="Times New Roman" w:eastAsia="仿宋_GB2312" w:cs="Times New Roman"/>
          <w:b w:val="0"/>
          <w:bCs/>
          <w:color w:val="auto"/>
          <w:sz w:val="32"/>
          <w:szCs w:val="32"/>
        </w:rPr>
        <w:t xml:space="preserve">教学设施齐全，教学档案完整。设有专门的档案室1间，规范管理教学文件和档案，将教学大纲、教案、多媒体课件、试卷、开题报告、学位论文及各种教学辅助材料等分类归档。 </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（3）教学管理制度健全。严格执行课程审查、教学过程管理、个人培养计划变更等制度，教学方案和计划的变动遵循规定的程序。 </w:t>
      </w:r>
    </w:p>
    <w:p>
      <w:pPr>
        <w:pageBreakBefore w:val="0"/>
        <w:widowControl/>
        <w:kinsoku w:val="0"/>
        <w:wordWrap/>
        <w:overflowPunct/>
        <w:topLinePunct w:val="0"/>
        <w:autoSpaceDE w:val="0"/>
        <w:autoSpaceDN w:val="0"/>
        <w:bidi w:val="0"/>
        <w:adjustRightInd w:val="0"/>
        <w:snapToGrid w:val="0"/>
        <w:spacing w:line="560" w:lineRule="exact"/>
        <w:ind w:right="15" w:rightChars="7"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（4）</w:t>
      </w:r>
      <w:r>
        <w:rPr>
          <w:rFonts w:hint="default" w:ascii="Times New Roman" w:hAnsi="Times New Roman" w:eastAsia="仿宋_GB2312" w:cs="Times New Roman"/>
          <w:b w:val="0"/>
          <w:bCs/>
          <w:color w:val="auto"/>
          <w:sz w:val="32"/>
          <w:szCs w:val="32"/>
        </w:rPr>
        <w:t>建立有效的教学质量评估制度</w:t>
      </w:r>
      <w:r>
        <w:rPr>
          <w:rFonts w:hint="default" w:ascii="Times New Roman" w:hAnsi="Times New Roman" w:eastAsia="仿宋" w:cs="Times New Roman"/>
          <w:b w:val="0"/>
          <w:bCs/>
          <w:color w:val="auto"/>
          <w:sz w:val="32"/>
          <w:szCs w:val="32"/>
          <w:lang w:bidi="ar"/>
        </w:rPr>
        <w:t>。</w:t>
      </w:r>
      <w:r>
        <w:rPr>
          <w:rFonts w:hint="default" w:ascii="Times New Roman" w:hAnsi="Times New Roman" w:eastAsia="仿宋_GB2312" w:cs="Times New Roman"/>
          <w:b w:val="0"/>
          <w:bCs/>
          <w:color w:val="auto"/>
          <w:sz w:val="32"/>
          <w:szCs w:val="32"/>
        </w:rPr>
        <w:t xml:space="preserve">建立学生评教制度，向学生发放教学满意度调查表，重点考察任课教师的教学态度、内容、方法和效果。100%学生参与所有课程评教，并把调查结果作为是否续聘的依据。每学期召开至少1次师生共同参与的教学质量提升研讨会。 </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szCs w:val="32"/>
        </w:rPr>
      </w:pPr>
      <w:bookmarkStart w:id="26" w:name="_Toc122510668"/>
      <w:r>
        <w:rPr>
          <w:rFonts w:hint="default" w:ascii="楷体_GB2312" w:hAnsi="楷体_GB2312" w:eastAsia="楷体_GB2312" w:cs="楷体_GB2312"/>
          <w:b w:val="0"/>
          <w:bCs/>
          <w:color w:val="auto"/>
          <w:sz w:val="32"/>
          <w:szCs w:val="32"/>
        </w:rPr>
        <w:t>（四）人才培养</w:t>
      </w:r>
      <w:bookmarkEnd w:id="26"/>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27" w:name="_Toc122510669"/>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en-US" w:eastAsia="zh-CN" w:bidi="ar-SA"/>
        </w:rPr>
        <w:t>思想政治教育</w:t>
      </w:r>
      <w:bookmarkEnd w:id="27"/>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校党委和院党委的正确指导下，以习近平新时代中国特色社会主义思想为指导，坚守为党育人为国育才初心使命，将“立德树人、强学报国”理念融入教学、科研、管理、服务的全方位各环节，坚持党建引领学科发展，坚持党团建工作与学科建设有机地融合，深化“三全育人”综合改革，全面提升学院思想政治工作质量，培养德智体美劳全面发展的社会主义建设者和接班人。</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（1）</w:t>
      </w:r>
      <w:r>
        <w:rPr>
          <w:rFonts w:hint="default" w:ascii="Times New Roman" w:hAnsi="Times New Roman" w:eastAsia="仿宋_GB2312" w:cs="Times New Roman"/>
          <w:b w:val="0"/>
          <w:bCs/>
          <w:color w:val="auto"/>
          <w:sz w:val="32"/>
          <w:szCs w:val="32"/>
        </w:rPr>
        <w:t>构建“五进一联两中心”保障“三全育人”落细入微显实效。一是发挥学院党委作用，建立健全学院党委统一领导、党政群团齐抓共管、各系所密切配合、全体教职员工积极参与的领导体制和工作机制，思想政治教育进课堂、进教学计划、进学生头脑、进科研训练、进社会实践。二是发挥师生党支部战斗堡垒与联纵联横作用，完善评议考核制度，把“三全育人”作为党支部书记抓基层党建述职评议考核重要内容，实施好“双带头人”培育工程。三是加强学院大学生就业指导中心与心理健康中心建设。</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（2）</w:t>
      </w:r>
      <w:r>
        <w:rPr>
          <w:rFonts w:hint="default" w:ascii="Times New Roman" w:hAnsi="Times New Roman" w:eastAsia="仿宋_GB2312" w:cs="Times New Roman"/>
          <w:b w:val="0"/>
          <w:bCs/>
          <w:color w:val="auto"/>
          <w:sz w:val="32"/>
          <w:szCs w:val="32"/>
        </w:rPr>
        <w:t>充分发挥学科党员先锋模范作用，强化学院立德树人阵地管理。通过党员亮身份展形象、争当教书育人先锋、争做科研攻关先锋、开展志愿社会服务活动；把好意识形态关，执行教师引进、评聘职称、课程建设、教材选用、学术活动等重大问题的政治把关制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（3）</w:t>
      </w:r>
      <w:r>
        <w:rPr>
          <w:rFonts w:hint="default" w:ascii="Times New Roman" w:hAnsi="Times New Roman" w:eastAsia="仿宋_GB2312" w:cs="Times New Roman"/>
          <w:b w:val="0"/>
          <w:bCs/>
          <w:color w:val="auto"/>
          <w:sz w:val="32"/>
          <w:szCs w:val="32"/>
        </w:rPr>
        <w:t>开展文娱活动。新时代的青年人，尤其是研究生，应当文明其思想，野蛮其体魄</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研究生文艺体育部举办了"党史"答题闯关接力赛</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将思想道德教育、革命传统教育和集体主义教育化为生动活泼的活动形式，让我院研究生在运动过程中传承五四精神，提升身体素质</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协助校院两级举办了乒乓球、羽毛球、武术、啦啦操、跳绳等多项体育比赛，通过多样的体育运动形式</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培养我院研究生广泛的运动爱好</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增强综合素质。在院级羽毛球赛中，研究生队伍一举包揽冠亚季军，挥洒汗水之余，在羽毛球馆的每个角落都留下了属于我院研究生的体育精神与运动风采。通过体育竞技，磨炼同学们的耐力，提升集体凝聚力，打造活力四射的生科氛围，培养高素质的生科人。</w:t>
      </w:r>
      <w:r>
        <w:rPr>
          <w:rFonts w:hint="default" w:ascii="Times New Roman" w:hAnsi="Times New Roman" w:eastAsia="仿宋_GB2312" w:cs="Times New Roman"/>
          <w:b w:val="0"/>
          <w:bCs/>
          <w:color w:val="auto"/>
          <w:sz w:val="32"/>
          <w:szCs w:val="32"/>
          <w:lang w:eastAsia="zh-Hans"/>
        </w:rPr>
        <w:t>研究生文艺体育部协助动员我院研究生参加经典诵写讲、心中的好导师、毕业季Vlog、 朱子文化等多项文艺作品征集。</w:t>
      </w:r>
      <w:r>
        <w:rPr>
          <w:rFonts w:hint="default" w:ascii="Times New Roman" w:hAnsi="Times New Roman" w:eastAsia="仿宋_GB2312" w:cs="Times New Roman"/>
          <w:b w:val="0"/>
          <w:bCs/>
          <w:color w:val="auto"/>
          <w:sz w:val="32"/>
          <w:szCs w:val="32"/>
        </w:rPr>
        <w:t>在五四青年节之际，学院在</w:t>
      </w:r>
      <w:r>
        <w:rPr>
          <w:rFonts w:hint="default" w:ascii="Times New Roman" w:hAnsi="Times New Roman" w:eastAsia="仿宋_GB2312" w:cs="Times New Roman"/>
          <w:b w:val="0"/>
          <w:bCs/>
          <w:color w:val="auto"/>
          <w:sz w:val="32"/>
          <w:szCs w:val="32"/>
          <w:lang w:eastAsia="zh-Hans"/>
        </w:rPr>
        <w:t>中华园举办 “五四青年节 放歌新时代”院十佳歌手大赛,</w:t>
      </w:r>
      <w:r>
        <w:rPr>
          <w:rFonts w:hint="default" w:ascii="Times New Roman" w:hAnsi="Times New Roman" w:eastAsia="仿宋_GB2312" w:cs="Times New Roman"/>
          <w:b w:val="0"/>
          <w:bCs/>
          <w:color w:val="auto"/>
          <w:sz w:val="32"/>
          <w:szCs w:val="32"/>
        </w:rPr>
        <w:t>广大青年学子唱响红歌，弘扬五四精神，展示当代青年学子的青春面貌和远大抱负。</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研究生宣传部关注研究生群体需求，注重思想引领，彰显榜样力量。报道了研究生会文体部开展的篮球赛、秦源院长学术道德讲座、我院年度教学科研社会服务总结暨表彰大会等活动，记录生科学子的积极向上的青春风貌，传播正能量。</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（5）</w:t>
      </w:r>
      <w:r>
        <w:rPr>
          <w:rFonts w:hint="default" w:ascii="Times New Roman" w:hAnsi="Times New Roman" w:eastAsia="仿宋_GB2312" w:cs="Times New Roman"/>
          <w:b w:val="0"/>
          <w:bCs/>
          <w:color w:val="auto"/>
          <w:sz w:val="32"/>
          <w:szCs w:val="32"/>
        </w:rPr>
        <w:t>开展心理健康服务，践行正确心理导向。为切实提高我院研究生心理素质，促进身心</w:t>
      </w:r>
      <w:r>
        <w:rPr>
          <w:rFonts w:hint="default" w:ascii="Times New Roman" w:hAnsi="Times New Roman" w:eastAsia="仿宋" w:cs="Times New Roman"/>
          <w:b w:val="0"/>
          <w:bCs/>
          <w:color w:val="auto"/>
          <w:sz w:val="32"/>
          <w:szCs w:val="32"/>
          <w:lang w:bidi="ar"/>
        </w:rPr>
        <w:t>健康发展。</w:t>
      </w:r>
      <w:r>
        <w:rPr>
          <w:rFonts w:hint="default" w:ascii="Times New Roman" w:hAnsi="Times New Roman" w:eastAsia="仿宋_GB2312" w:cs="Times New Roman"/>
          <w:b w:val="0"/>
          <w:bCs/>
          <w:color w:val="auto"/>
          <w:sz w:val="32"/>
          <w:szCs w:val="32"/>
        </w:rPr>
        <w:t>研究生服务部于五月下旬组织开展了“以提升学业效能感和心理健康水平”为主题的研究生思维认知训练心理沙龙，由我校大学生心理健康指导中心心理教研室张露老师担任主讲人，通过组织探讨，思维发散，让大家收获了更趣味有效的思考方法，思学结合，寓教于乐。活动结束后，研究生服务部广泛听取同学意见，总结此次心理沙龙活动经验，将心理沙龙做成服务部的品牌活动，以期更好地关注研究生各阶段心理状况，促进研究生心理健康发展。</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28" w:name="_Toc122510670"/>
      <w:r>
        <w:rPr>
          <w:rFonts w:hint="default" w:ascii="Times New Roman" w:hAnsi="Times New Roman" w:eastAsia="仿宋" w:cs="Times New Roman"/>
          <w:b w:val="0"/>
          <w:bCs/>
          <w:color w:val="auto"/>
          <w:sz w:val="32"/>
        </w:rPr>
        <w:t>2.</w:t>
      </w:r>
      <w:r>
        <w:rPr>
          <w:rFonts w:hint="default" w:ascii="Times New Roman" w:hAnsi="Times New Roman" w:eastAsia="仿宋_GB2312" w:cs="Times New Roman"/>
          <w:b w:val="0"/>
          <w:bCs/>
          <w:snapToGrid w:val="0"/>
          <w:color w:val="auto"/>
          <w:sz w:val="32"/>
          <w:szCs w:val="32"/>
          <w:lang w:val="en-US" w:eastAsia="zh-CN" w:bidi="ar-SA"/>
        </w:rPr>
        <w:t>师德师风建设</w:t>
      </w:r>
      <w:bookmarkEnd w:id="28"/>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snapToGrid w:val="0"/>
          <w:color w:val="auto"/>
          <w:sz w:val="32"/>
          <w:szCs w:val="32"/>
          <w:lang w:val="en-US" w:eastAsia="zh-CN" w:bidi="ar-SA"/>
        </w:rPr>
        <w:t>生命科学学院秉承“追求卓越、追求完美、追求和谐”的办学理念，围绕“立德树人”</w:t>
      </w:r>
      <w:r>
        <w:rPr>
          <w:rFonts w:hint="default" w:ascii="Times New Roman" w:hAnsi="Times New Roman" w:eastAsia="仿宋_GB2312" w:cs="Times New Roman"/>
          <w:b w:val="0"/>
          <w:bCs/>
          <w:color w:val="auto"/>
          <w:sz w:val="32"/>
          <w:szCs w:val="32"/>
        </w:rPr>
        <w:t>根本任务，把师德师风建设作为学院工作的重中之重。</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rPr>
        <w:t>（1）</w:t>
      </w:r>
      <w:r>
        <w:rPr>
          <w:rFonts w:hint="default" w:ascii="Times New Roman" w:hAnsi="Times New Roman" w:eastAsia="仿宋_GB2312" w:cs="Times New Roman"/>
          <w:b w:val="0"/>
          <w:bCs/>
          <w:color w:val="auto"/>
          <w:sz w:val="32"/>
          <w:szCs w:val="32"/>
        </w:rPr>
        <w:t>用习近平新时代中国特色社会主义思想武装头脑、指导和推动师德师风建设工作。学院通过开展全国全省高校思想政治工作会议精神学习</w:t>
      </w:r>
      <w:r>
        <w:rPr>
          <w:rFonts w:hint="default" w:ascii="Times New Roman" w:hAnsi="Times New Roman" w:eastAsia="仿宋_GB2312" w:cs="Times New Roman"/>
          <w:b w:val="0"/>
          <w:bCs/>
          <w:color w:val="auto"/>
          <w:sz w:val="32"/>
          <w:szCs w:val="32"/>
          <w:lang w:val="en-US" w:eastAsia="zh-CN"/>
        </w:rPr>
        <w:t>会</w:t>
      </w:r>
      <w:r>
        <w:rPr>
          <w:rFonts w:hint="default" w:ascii="Times New Roman" w:hAnsi="Times New Roman" w:eastAsia="仿宋_GB2312" w:cs="Times New Roman"/>
          <w:b w:val="0"/>
          <w:bCs/>
          <w:color w:val="auto"/>
          <w:sz w:val="32"/>
          <w:szCs w:val="32"/>
        </w:rPr>
        <w:t>、全国全省教育大会精神专题学习研讨、“不忘初心、牢记使命”主题教育和习近平总书记</w:t>
      </w:r>
      <w:r>
        <w:rPr>
          <w:rFonts w:hint="default" w:ascii="Times New Roman" w:hAnsi="Times New Roman" w:eastAsia="仿宋_GB2312" w:cs="Times New Roman"/>
          <w:b w:val="0"/>
          <w:bCs/>
          <w:color w:val="auto"/>
          <w:sz w:val="32"/>
          <w:szCs w:val="32"/>
          <w:lang w:val="en-US" w:eastAsia="zh-CN"/>
        </w:rPr>
        <w:t>关于</w:t>
      </w:r>
      <w:r>
        <w:rPr>
          <w:rFonts w:hint="default" w:ascii="Times New Roman" w:hAnsi="Times New Roman" w:eastAsia="仿宋_GB2312" w:cs="Times New Roman"/>
          <w:b w:val="0"/>
          <w:bCs/>
          <w:color w:val="auto"/>
          <w:sz w:val="32"/>
          <w:szCs w:val="32"/>
        </w:rPr>
        <w:t>教育</w:t>
      </w:r>
      <w:r>
        <w:rPr>
          <w:rFonts w:hint="default" w:ascii="Times New Roman" w:hAnsi="Times New Roman" w:eastAsia="仿宋_GB2312" w:cs="Times New Roman"/>
          <w:b w:val="0"/>
          <w:bCs/>
          <w:color w:val="auto"/>
          <w:sz w:val="32"/>
          <w:szCs w:val="32"/>
          <w:lang w:val="en-US" w:eastAsia="zh-CN"/>
        </w:rPr>
        <w:t>的</w:t>
      </w:r>
      <w:r>
        <w:rPr>
          <w:rFonts w:hint="default" w:ascii="Times New Roman" w:hAnsi="Times New Roman" w:eastAsia="仿宋_GB2312" w:cs="Times New Roman"/>
          <w:b w:val="0"/>
          <w:bCs/>
          <w:color w:val="auto"/>
          <w:sz w:val="32"/>
          <w:szCs w:val="32"/>
        </w:rPr>
        <w:t>重要论述专题学习研讨，不断加强学习，明确“立德树人”的根本任务，强化教师为人师表，引导教师认真履行“教书育人”职责，倡导广大教师做“四有好老师”。</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rPr>
        <w:t>（2）</w:t>
      </w:r>
      <w:r>
        <w:rPr>
          <w:rFonts w:hint="default" w:ascii="Times New Roman" w:hAnsi="Times New Roman" w:eastAsia="仿宋_GB2312" w:cs="Times New Roman"/>
          <w:b w:val="0"/>
          <w:bCs/>
          <w:color w:val="auto"/>
          <w:sz w:val="32"/>
          <w:szCs w:val="32"/>
        </w:rPr>
        <w:t>充分发挥党支部战斗堡垒和党员先锋模范作用，引领师德师风建设。学院注重强化教师党支部组织力，突出政治功能，以系室、科研团队为单位成立教师党支部，开展教师党支部书记“双带头人”培育，实现教工党支部书记“双带头人”全覆盖。教师党支部将师德师风负面清单学习有机地融入“三会一课”、主题党日和组织生活会中，充分发挥党支部战斗堡垒和党员先锋模范作用，引导全体教职工进一步增强纪律规矩意识，自觉增强“红线”意识、坚守“底线”思维。</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rPr>
        <w:t>（3）</w:t>
      </w:r>
      <w:r>
        <w:rPr>
          <w:rFonts w:hint="default" w:ascii="Times New Roman" w:hAnsi="Times New Roman" w:eastAsia="仿宋_GB2312" w:cs="Times New Roman"/>
          <w:b w:val="0"/>
          <w:bCs/>
          <w:color w:val="auto"/>
          <w:sz w:val="32"/>
          <w:szCs w:val="32"/>
        </w:rPr>
        <w:t>贯彻落实师德师风考核规章制度，扎实应用师德师风考核评价结果。认真贯彻落实中共中央、国务院《深化新时代教育评价改革总体方案》、教育部《新时代高校教师职业行为十项准则》等精神，以及我校《关于建立健全师德建设长效机制的实施办法》《教师职业行为负面清单及师德失范行为处理办法》《教师系列职务任职条件规定》等规定，坚持把师德师风作为第一标准，严把教师思想政治素质关，将师德师风考核结果应用到教职工年度考核评价、职称评聘、学科带头人遴选候选人、人才考核、校外导师考核、兼职理事考核和人才招聘等重要环节，引导广大教师，当好“四个引路人”，坚守“四个相统一”。</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29" w:name="_Toc122510671"/>
      <w:r>
        <w:rPr>
          <w:rFonts w:hint="default" w:ascii="Times New Roman" w:hAnsi="Times New Roman" w:eastAsia="仿宋" w:cs="Times New Roman"/>
          <w:b w:val="0"/>
          <w:bCs/>
          <w:color w:val="auto"/>
          <w:sz w:val="32"/>
        </w:rPr>
        <w:t>3.</w:t>
      </w:r>
      <w:r>
        <w:rPr>
          <w:rFonts w:hint="default" w:ascii="Times New Roman" w:hAnsi="Times New Roman" w:eastAsia="仿宋_GB2312" w:cs="Times New Roman"/>
          <w:b w:val="0"/>
          <w:bCs/>
          <w:snapToGrid w:val="0"/>
          <w:color w:val="auto"/>
          <w:sz w:val="32"/>
          <w:szCs w:val="32"/>
          <w:lang w:val="en-US" w:eastAsia="zh-CN" w:bidi="ar-SA"/>
        </w:rPr>
        <w:t>招生选拔</w:t>
      </w:r>
      <w:bookmarkEnd w:id="29"/>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z w:val="32"/>
          <w:szCs w:val="32"/>
          <w:lang w:bidi="ar"/>
        </w:rPr>
      </w:pPr>
      <w:r>
        <w:rPr>
          <w:rFonts w:hint="default" w:ascii="Times New Roman" w:hAnsi="Times New Roman" w:eastAsia="仿宋_GB2312" w:cs="Times New Roman"/>
          <w:b w:val="0"/>
          <w:bCs/>
          <w:color w:val="auto"/>
          <w:sz w:val="32"/>
          <w:szCs w:val="32"/>
        </w:rPr>
        <w:t>以选拔优秀人才理念为核心，积极寻求在招生规模和生源质量上突破。加大对考生综合素质、发展潜能方面的考核力度，进一步深化研究生和导师双向选择，同时加大接收推免生的力度。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z w:val="32"/>
          <w:szCs w:val="32"/>
          <w:lang w:bidi="ar"/>
        </w:rPr>
      </w:pPr>
      <w:r>
        <w:rPr>
          <w:rFonts w:hint="default" w:ascii="Times New Roman" w:hAnsi="Times New Roman" w:eastAsia="仿宋" w:cs="Times New Roman"/>
          <w:b w:val="0"/>
          <w:bCs/>
          <w:color w:val="auto"/>
          <w:sz w:val="32"/>
          <w:szCs w:val="32"/>
          <w:lang w:bidi="ar"/>
        </w:rPr>
        <w:t>（1）</w:t>
      </w:r>
      <w:r>
        <w:rPr>
          <w:rFonts w:hint="default" w:ascii="Times New Roman" w:hAnsi="Times New Roman" w:eastAsia="仿宋_GB2312" w:cs="Times New Roman"/>
          <w:b w:val="0"/>
          <w:bCs/>
          <w:color w:val="auto"/>
          <w:sz w:val="32"/>
          <w:szCs w:val="32"/>
        </w:rPr>
        <w:t>加大招生宣传的力度，建立招生宣传长效机制。通过开展学术会议、</w:t>
      </w:r>
      <w:r>
        <w:rPr>
          <w:rFonts w:hint="eastAsia" w:ascii="Times New Roman" w:hAnsi="Times New Roman" w:eastAsia="仿宋_GB2312" w:cs="Times New Roman"/>
          <w:b w:val="0"/>
          <w:bCs/>
          <w:color w:val="auto"/>
          <w:sz w:val="32"/>
          <w:szCs w:val="32"/>
          <w:lang w:eastAsia="zh-CN"/>
        </w:rPr>
        <w:t>组织</w:t>
      </w:r>
      <w:r>
        <w:rPr>
          <w:rFonts w:hint="default" w:ascii="Times New Roman" w:hAnsi="Times New Roman" w:eastAsia="仿宋_GB2312" w:cs="Times New Roman"/>
          <w:b w:val="0"/>
          <w:bCs/>
          <w:color w:val="auto"/>
          <w:sz w:val="32"/>
          <w:szCs w:val="32"/>
        </w:rPr>
        <w:t>专</w:t>
      </w:r>
      <w:bookmarkStart w:id="97" w:name="_GoBack"/>
      <w:bookmarkEnd w:id="97"/>
      <w:r>
        <w:rPr>
          <w:rFonts w:hint="default" w:ascii="Times New Roman" w:hAnsi="Times New Roman" w:eastAsia="仿宋_GB2312" w:cs="Times New Roman"/>
          <w:b w:val="0"/>
          <w:bCs/>
          <w:color w:val="auto"/>
          <w:sz w:val="32"/>
          <w:szCs w:val="32"/>
        </w:rPr>
        <w:t>家开展社会服务，发挥科研优势等统筹规划对外宣传，充分展示办学点办学实力和人才培养质量。建立相对稳定的招生宣传队伍，充分利用电话、QQ、学院官网以及微信公众号等渠道不断完善招生宣传。顺利完成2022年研究生招生任务。学院积极开展招生宣传，加强招生管理，出台《福建农林大学生命科学学院2022年研究生招生名额分配实施办法》，制定硕博士招生有关方案和细则6个，开展导师和招生联络员培训4场次，在2022年3月突发疫情防控严峻形势下，根据远程复试要求，制定应急方案，规范工作流程。做好复试工作小组培训工作，题库设计工作，加强人员、物质、技术保障等。2022年招收硕士生287人，博士生35人，留学生6人（其中博士生5人，硕士生1人）。本年度招生生源充足、质量较好，总人数达学院历年最高。</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（2）</w:t>
      </w:r>
      <w:r>
        <w:rPr>
          <w:rFonts w:hint="default" w:ascii="Times New Roman" w:hAnsi="Times New Roman" w:eastAsia="仿宋_GB2312" w:cs="Times New Roman"/>
          <w:b w:val="0"/>
          <w:bCs/>
          <w:color w:val="auto"/>
          <w:sz w:val="32"/>
          <w:szCs w:val="32"/>
        </w:rPr>
        <w:t>规范招生工作，实施全过程监督</w:t>
      </w:r>
      <w:r>
        <w:rPr>
          <w:rFonts w:hint="default" w:ascii="Times New Roman" w:hAnsi="Times New Roman" w:eastAsia="仿宋" w:cs="Times New Roman"/>
          <w:b w:val="0"/>
          <w:bCs/>
          <w:color w:val="auto"/>
          <w:sz w:val="32"/>
          <w:szCs w:val="32"/>
          <w:lang w:bidi="ar"/>
        </w:rPr>
        <w:t>。</w:t>
      </w:r>
      <w:r>
        <w:rPr>
          <w:rFonts w:hint="default" w:ascii="Times New Roman" w:hAnsi="Times New Roman" w:eastAsia="仿宋_GB2312" w:cs="Times New Roman"/>
          <w:b w:val="0"/>
          <w:bCs/>
          <w:color w:val="auto"/>
          <w:sz w:val="32"/>
          <w:szCs w:val="32"/>
        </w:rPr>
        <w:t>围绕网络远程复试的新形式、新要求，制定了研究生复试录取工作实施细则、复试试题库建设方案、远程复试考场规则等，规范复试录取工作的各个环节。学院实施多层次、多维度的培训方案，确保复试工作参与人员培训全覆盖；制定网络远程复试面试系统考生操作指南，实现考生远程复试设备调试标准化。认真执行“一平台、两识别、三随机、四比对”的要求，采用“双机位”，全方位监控考生复试；执行考前对考生身份证、准考证与视频人像进行核验，确认考生身份真实；做到考生复试顺序、专家分组、试题抽取三随机，院党委纪检委员监督复试录取工作全过程，确保考试公平。</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30" w:name="_Toc122510672"/>
      <w:r>
        <w:rPr>
          <w:rFonts w:hint="default" w:ascii="Times New Roman" w:hAnsi="Times New Roman" w:eastAsia="仿宋" w:cs="Times New Roman"/>
          <w:b w:val="0"/>
          <w:bCs/>
          <w:color w:val="auto"/>
          <w:sz w:val="32"/>
        </w:rPr>
        <w:t>4.</w:t>
      </w:r>
      <w:r>
        <w:rPr>
          <w:rFonts w:hint="eastAsia" w:ascii="楷体_GB2312" w:hAnsi="楷体_GB2312" w:eastAsia="楷体_GB2312" w:cs="楷体_GB2312"/>
          <w:b w:val="0"/>
          <w:bCs/>
          <w:color w:val="auto"/>
          <w:sz w:val="32"/>
        </w:rPr>
        <w:t>课</w:t>
      </w:r>
      <w:r>
        <w:rPr>
          <w:rFonts w:hint="eastAsia" w:ascii="楷体_GB2312" w:hAnsi="楷体_GB2312" w:eastAsia="楷体_GB2312" w:cs="楷体_GB2312"/>
          <w:b w:val="0"/>
          <w:bCs/>
          <w:snapToGrid w:val="0"/>
          <w:color w:val="auto"/>
          <w:sz w:val="32"/>
          <w:szCs w:val="32"/>
          <w:lang w:val="en-US" w:eastAsia="zh-CN" w:bidi="ar-SA"/>
        </w:rPr>
        <w:t>程教学</w:t>
      </w:r>
      <w:bookmarkEnd w:id="30"/>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（1）</w:t>
      </w:r>
      <w:r>
        <w:rPr>
          <w:rFonts w:hint="default" w:ascii="楷体_GB2312" w:hAnsi="楷体_GB2312" w:eastAsia="楷体_GB2312" w:cs="楷体_GB2312"/>
          <w:b w:val="0"/>
          <w:bCs/>
          <w:snapToGrid w:val="0"/>
          <w:color w:val="auto"/>
          <w:sz w:val="32"/>
          <w:szCs w:val="32"/>
          <w:lang w:val="en-US" w:eastAsia="zh-CN" w:bidi="ar-SA"/>
        </w:rPr>
        <w:t>课程教学改革创新</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修订完善2022级研究生培养方案。适应新形势新要求，着眼人才培养总目标，在充分研讨、调研和认证基础上，进一步修订完善了2022级生物学一级学科博士生（包括留学生）、生物学一级学科直博生等各类研究生培养方案。优化培养方案学科课程结构，实现课程“五育并举”以及个性化、方向性设置，将学科研究新进展及时纳入课堂和教材。</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学科带头人和各专业方向带头人如秦源、汪世华、邱君志等承担生物学主干课程的讲授。同时将海峡联合研究院的熊延、徐通达、朱方捷、陈立余等多位前沿科研团队高层次人才纳入相关专业方向师资队伍并加入授课团队，优化师资队伍，提高专业师资水平，有效拓展学生知识面、科研能力和综合素质，进一步提升人才培养质量。</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新时代新形势的要求和现代化发展水平，增加了特色选修课，如菌草技术与工程、生物大分子与微生物组学；更新调整了部分课程内容及名称。例如，将原有的“生物信息学”更新为“前沿生物大数据”，将原有的“生命科学研究方法”更新为“生命科学研究前沿与方法”等，并相应调整了最新的课程内容增加了最新研究成果等，让学生能够了解掌握学科最新动态，学习跟进最前沿的研究进展。提高育人成效，更加适应现代化社会发展需求。并且在课程教学总中融入思政教学元素，培养学生爱国情怀，将立德树人工作落到实处。张惠莹副教授主讲的生物与医药工程研究进展获得研究生院课程思政程建设项目资助。</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（2）</w:t>
      </w:r>
      <w:r>
        <w:rPr>
          <w:rFonts w:hint="default" w:ascii="楷体_GB2312" w:hAnsi="楷体_GB2312" w:eastAsia="楷体_GB2312" w:cs="楷体_GB2312"/>
          <w:b w:val="0"/>
          <w:bCs/>
          <w:snapToGrid w:val="0"/>
          <w:color w:val="auto"/>
          <w:sz w:val="32"/>
          <w:szCs w:val="32"/>
          <w:lang w:val="en-US" w:eastAsia="zh-CN" w:bidi="ar-SA"/>
        </w:rPr>
        <w:t>质量督导创新</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常态化推进研究生日常教育教学工作。认真规范完成各类常规性研究生教学和培养环节。2022年共安排开设研究生课程49门，同时根据疫情防控时期学校整体部署，组织任课教师创建教学班QQ群，配合做好线上线下教学随时切换与有效衔接。按期制定新生个人培养计划，开展研究生教学实践、科研实践、中期考核、专业实践考核、博士生综合考试、博硕士生开题认证等各类教学环节。组织优博优硕基金申报和验收</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2022年学院研究生共有4项校优博基金和1项优硕基金通过结题验收，2项校优博基金通过中期考核。</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rPr>
      </w:pPr>
      <w:bookmarkStart w:id="31" w:name="_Toc122510673"/>
      <w:r>
        <w:rPr>
          <w:rFonts w:hint="default" w:ascii="Times New Roman" w:hAnsi="Times New Roman" w:eastAsia="仿宋" w:cs="Times New Roman"/>
          <w:b w:val="0"/>
          <w:bCs/>
          <w:color w:val="auto"/>
          <w:sz w:val="32"/>
        </w:rPr>
        <w:t>5.</w:t>
      </w:r>
      <w:r>
        <w:rPr>
          <w:rFonts w:hint="default" w:ascii="楷体_GB2312" w:hAnsi="楷体_GB2312" w:eastAsia="楷体_GB2312" w:cs="楷体_GB2312"/>
          <w:b w:val="0"/>
          <w:bCs/>
          <w:color w:val="auto"/>
          <w:sz w:val="32"/>
        </w:rPr>
        <w:t>导师管理</w:t>
      </w:r>
      <w:bookmarkEnd w:id="31"/>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color w:val="auto"/>
          <w:sz w:val="32"/>
          <w:szCs w:val="32"/>
          <w:lang w:bidi="ar"/>
        </w:rPr>
      </w:pPr>
      <w:r>
        <w:rPr>
          <w:rFonts w:hint="default" w:ascii="Times New Roman" w:hAnsi="Times New Roman" w:eastAsia="仿宋" w:cs="Times New Roman"/>
          <w:b w:val="0"/>
          <w:bCs/>
          <w:color w:val="auto"/>
          <w:sz w:val="32"/>
          <w:szCs w:val="32"/>
          <w:lang w:bidi="ar"/>
        </w:rPr>
        <w:t>（1）</w:t>
      </w:r>
      <w:r>
        <w:rPr>
          <w:rFonts w:hint="default" w:ascii="楷体_GB2312" w:hAnsi="楷体_GB2312" w:eastAsia="楷体_GB2312" w:cs="楷体_GB2312"/>
          <w:b w:val="0"/>
          <w:bCs/>
          <w:snapToGrid w:val="0"/>
          <w:color w:val="auto"/>
          <w:sz w:val="32"/>
          <w:szCs w:val="32"/>
          <w:lang w:val="en-US" w:eastAsia="zh-CN" w:bidi="ar-SA"/>
        </w:rPr>
        <w:t>加强教学改革优化人才培养模式。</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2022年学院汪世华教授的《高级分子生物学》课程获选省级研究生精品课程。学院通过2018年省级研究生导师团队验收2项，通过校级教育教学改革研究项目中期检查2项和结题验收1项。申报获批校级研究生课程建设和导师团队项目4项、校级研究生教育教学改革研究项目2项。建立健全研究生班主任工作机制，较好发挥13位研究生班主任的作用，从多角度、多方面开展研究生科研诚信、思想政治、心理疏导、安全教育、就业等工作，大大提升了研究生教育教学成效。</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（2）</w:t>
      </w:r>
      <w:r>
        <w:rPr>
          <w:rFonts w:hint="default" w:ascii="楷体_GB2312" w:hAnsi="楷体_GB2312" w:eastAsia="楷体_GB2312" w:cs="楷体_GB2312"/>
          <w:b w:val="0"/>
          <w:bCs/>
          <w:snapToGrid w:val="0"/>
          <w:color w:val="auto"/>
          <w:sz w:val="32"/>
          <w:szCs w:val="32"/>
          <w:lang w:val="en-US" w:eastAsia="zh-CN" w:bidi="ar-SA"/>
        </w:rPr>
        <w:t>严格导师准入制度，加强考核管理。</w:t>
      </w:r>
      <w:r>
        <w:rPr>
          <w:rFonts w:hint="default" w:ascii="Times New Roman" w:hAnsi="Times New Roman" w:eastAsia="仿宋_GB2312" w:cs="Times New Roman"/>
          <w:b w:val="0"/>
          <w:bCs/>
          <w:color w:val="auto"/>
          <w:sz w:val="32"/>
          <w:szCs w:val="32"/>
        </w:rPr>
        <w:t>落实学校相关规定与要求，认真遴选2022年硕士生导师和2023年博士生导师，审核并认定2022年校内外在岗硕士生导师75人，审核并推荐校内新增硕士生导师 6人和校外新增硕士生导师7人。审核并认定2023年在岗博士生导师28人，审核并推荐校内新增博士生导师 4人和校外新增博士生导师3人。为下年度硕博士招生和研究生培养工作打下良好基础。</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 w:cs="Times New Roman"/>
          <w:b w:val="0"/>
          <w:bCs/>
          <w:color w:val="auto"/>
          <w:sz w:val="32"/>
          <w:szCs w:val="32"/>
          <w:lang w:bidi="ar"/>
        </w:rPr>
        <w:t>（3）</w:t>
      </w:r>
      <w:r>
        <w:rPr>
          <w:rFonts w:hint="default" w:ascii="楷体_GB2312" w:hAnsi="楷体_GB2312" w:eastAsia="楷体_GB2312" w:cs="楷体_GB2312"/>
          <w:b w:val="0"/>
          <w:bCs/>
          <w:snapToGrid w:val="0"/>
          <w:color w:val="auto"/>
          <w:sz w:val="32"/>
          <w:szCs w:val="32"/>
          <w:lang w:val="en-US" w:eastAsia="zh-CN" w:bidi="ar-SA"/>
        </w:rPr>
        <w:t>持续开展导师能力提升工程。增</w:t>
      </w:r>
      <w:r>
        <w:rPr>
          <w:rFonts w:hint="default" w:ascii="Times New Roman" w:hAnsi="Times New Roman" w:eastAsia="仿宋_GB2312" w:cs="Times New Roman"/>
          <w:b w:val="0"/>
          <w:bCs/>
          <w:color w:val="auto"/>
          <w:sz w:val="32"/>
          <w:szCs w:val="32"/>
        </w:rPr>
        <w:t>强导师责任意识和育人观念，帮助导师提高责任意识，明确导师岗位职责，提升育人水平。通过线上、线下相结合的方式开展导师培训专题讲座。</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rPr>
      </w:pPr>
      <w:bookmarkStart w:id="32" w:name="_Toc122510674"/>
      <w:r>
        <w:rPr>
          <w:rFonts w:hint="default" w:ascii="Times New Roman" w:hAnsi="Times New Roman" w:eastAsia="仿宋" w:cs="Times New Roman"/>
          <w:b w:val="0"/>
          <w:bCs/>
          <w:color w:val="auto"/>
          <w:sz w:val="32"/>
        </w:rPr>
        <w:t>6.</w:t>
      </w:r>
      <w:r>
        <w:rPr>
          <w:rFonts w:hint="default" w:ascii="楷体_GB2312" w:hAnsi="楷体_GB2312" w:eastAsia="楷体_GB2312" w:cs="楷体_GB2312"/>
          <w:b w:val="0"/>
          <w:bCs/>
          <w:color w:val="auto"/>
          <w:sz w:val="32"/>
        </w:rPr>
        <w:t>学术训练</w:t>
      </w:r>
      <w:bookmarkEnd w:id="32"/>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强化提升研究生学术科研交流能力。2022年上半年，生命科学学院共举办学术讲座39场，共计3091人次参与；承办2022年第二学期研究生博学论坛，覆盖全校范围的研究生群体，共计318人次参与；积极组织学生参与大学生“互联网＋”创新创业大赛，累计参与达500余人次；鼓励参与福建农林大学研究生科技周活动，获评第二</w:t>
      </w:r>
      <w:r>
        <w:rPr>
          <w:rFonts w:hint="eastAsia" w:ascii="Times New Roman" w:hAnsi="Times New Roman" w:eastAsia="仿宋_GB2312" w:cs="Times New Roman"/>
          <w:b w:val="0"/>
          <w:bCs/>
          <w:color w:val="auto"/>
          <w:sz w:val="32"/>
          <w:szCs w:val="32"/>
          <w:lang w:val="en-US" w:eastAsia="zh-CN"/>
        </w:rPr>
        <w:t>届</w:t>
      </w:r>
      <w:r>
        <w:rPr>
          <w:rFonts w:hint="default" w:ascii="Times New Roman" w:hAnsi="Times New Roman" w:eastAsia="仿宋_GB2312" w:cs="Times New Roman"/>
          <w:b w:val="0"/>
          <w:bCs/>
          <w:color w:val="auto"/>
          <w:sz w:val="32"/>
          <w:szCs w:val="32"/>
        </w:rPr>
        <w:t>研究生科技周优秀组织奖，前期吸引52名同学参与，推选19名同学在各评选组别、类别中获一等奖1人次，二等奖1人次，三等奖8人次；同时举办第三届福建农林大学生命科学学院研究生学术论坛，促进院内师生的学术交流，活动邀请五名专家老师参与评审，共吸引28名硕士、博士参与交流成果，两个时段累计参加人数达到一百五十余人次。一年来，以多种形式、多样主题开展了丰富多彩的学术活动，切实搭建了广大学生学术创新与文化交流的平台。</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snapToGrid w:val="0"/>
          <w:color w:val="auto"/>
          <w:sz w:val="32"/>
          <w:szCs w:val="32"/>
          <w:lang w:val="en-US" w:eastAsia="zh-CN" w:bidi="ar-SA"/>
        </w:rPr>
      </w:pPr>
      <w:bookmarkStart w:id="33" w:name="_Toc122510675"/>
      <w:r>
        <w:rPr>
          <w:rFonts w:hint="default" w:ascii="Times New Roman" w:hAnsi="Times New Roman" w:eastAsia="楷体" w:cs="Times New Roman"/>
          <w:b w:val="0"/>
          <w:bCs/>
          <w:color w:val="auto"/>
          <w:sz w:val="32"/>
          <w:szCs w:val="32"/>
        </w:rPr>
        <w:t>（五）</w:t>
      </w:r>
      <w:r>
        <w:rPr>
          <w:rFonts w:hint="default" w:ascii="楷体_GB2312" w:hAnsi="楷体_GB2312" w:eastAsia="楷体_GB2312" w:cs="楷体_GB2312"/>
          <w:b w:val="0"/>
          <w:bCs/>
          <w:snapToGrid w:val="0"/>
          <w:color w:val="auto"/>
          <w:sz w:val="32"/>
          <w:szCs w:val="32"/>
          <w:lang w:val="en-US" w:eastAsia="zh-CN" w:bidi="ar-SA"/>
        </w:rPr>
        <w:t>质量监控</w:t>
      </w:r>
      <w:bookmarkEnd w:id="33"/>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rPr>
      </w:pPr>
      <w:bookmarkStart w:id="34" w:name="_Toc122510676"/>
      <w:r>
        <w:rPr>
          <w:rFonts w:hint="default" w:ascii="Times New Roman" w:hAnsi="Times New Roman" w:eastAsia="仿宋" w:cs="Times New Roman"/>
          <w:b w:val="0"/>
          <w:bCs/>
          <w:color w:val="auto"/>
          <w:sz w:val="32"/>
        </w:rPr>
        <w:t>1.</w:t>
      </w:r>
      <w:r>
        <w:rPr>
          <w:rFonts w:hint="default" w:ascii="楷体_GB2312" w:hAnsi="楷体_GB2312" w:eastAsia="楷体_GB2312" w:cs="楷体_GB2312"/>
          <w:b w:val="0"/>
          <w:bCs/>
          <w:color w:val="auto"/>
          <w:sz w:val="32"/>
        </w:rPr>
        <w:t>分流淘汰</w:t>
      </w:r>
      <w:bookmarkEnd w:id="34"/>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强研究生培养过程管理，进一步规范研究生培养各环节考核流程，严格执行《福建农林大学学术型研究生开题执行的暂行规定》《福建农林大学学术型研究生中期考核办法》《福建农林大学硕博连读研究生选拔办法》。通过中期考核对研究生的学习和科研进行全面检查，未通过中期考核的研究生进行分流淘汰。中期考核合格后才能进入论文写作阶段，中期考核优秀的研究生可以申请提前毕业及硕博连读。2022年，未出现中期考核不合格的情况。</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rPr>
      </w:pPr>
      <w:bookmarkStart w:id="35" w:name="_Toc122510677"/>
      <w:r>
        <w:rPr>
          <w:rFonts w:hint="default" w:ascii="Times New Roman" w:hAnsi="Times New Roman" w:eastAsia="仿宋" w:cs="Times New Roman"/>
          <w:b w:val="0"/>
          <w:bCs/>
          <w:color w:val="auto"/>
          <w:sz w:val="32"/>
        </w:rPr>
        <w:t>2.</w:t>
      </w:r>
      <w:r>
        <w:rPr>
          <w:rFonts w:hint="default" w:ascii="楷体_GB2312" w:hAnsi="楷体_GB2312" w:eastAsia="楷体_GB2312" w:cs="楷体_GB2312"/>
          <w:b w:val="0"/>
          <w:bCs/>
          <w:color w:val="auto"/>
          <w:sz w:val="32"/>
        </w:rPr>
        <w:t>学位论文</w:t>
      </w:r>
      <w:bookmarkEnd w:id="35"/>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学院强化质量监控与检查，促进学位授予管理规范。科学合理设置培养要求和学位授予条件，严肃学位论文评阅、答辩、学位评定等关键环节，不断强化研究生导师、学位论文答辩委员会和学位评定委员会责任。2022年1月-12月博士生论文共送审42人次，其中一审AAA的6人次。共有38人被授予博士学位。学术型硕士生论文共送审132人次，其中一审AAA的20人次，共有38人被授予学生硕士学位。专业型硕士共送审86人次，其中一审AAA的共13人。在2022年11月省学位委员会公布的2021年省级优秀学位论文名单中，2名博士生论文获评省级优秀博士论文，3名硕士生论文获评省级优秀硕士论文。2022年1月公布的校优秀学位论文名单中，共有5名博士生论文、8名学术型硕士生和3名专业型硕士生论文获评2021年度校级优秀学位论文</w:t>
      </w:r>
      <w:r>
        <w:rPr>
          <w:rFonts w:hint="default" w:ascii="Times New Roman" w:hAnsi="Times New Roman" w:eastAsia="仿宋_GB2312" w:cs="Times New Roman"/>
          <w:b w:val="0"/>
          <w:bCs/>
          <w:color w:val="auto"/>
          <w:sz w:val="32"/>
          <w:szCs w:val="32"/>
          <w:lang w:eastAsia="zh-CN"/>
        </w:rPr>
        <w:t>。</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rPr>
      </w:pPr>
      <w:bookmarkStart w:id="36" w:name="_Toc122510678"/>
      <w:r>
        <w:rPr>
          <w:rFonts w:hint="default" w:ascii="Times New Roman" w:hAnsi="Times New Roman" w:eastAsia="仿宋" w:cs="Times New Roman"/>
          <w:b w:val="0"/>
          <w:bCs/>
          <w:color w:val="auto"/>
          <w:sz w:val="32"/>
        </w:rPr>
        <w:t>3.</w:t>
      </w:r>
      <w:r>
        <w:rPr>
          <w:rFonts w:hint="default" w:ascii="楷体_GB2312" w:hAnsi="楷体_GB2312" w:eastAsia="楷体_GB2312" w:cs="楷体_GB2312"/>
          <w:b w:val="0"/>
          <w:bCs/>
          <w:color w:val="auto"/>
          <w:sz w:val="32"/>
        </w:rPr>
        <w:t>学风教育</w:t>
      </w:r>
      <w:bookmarkEnd w:id="36"/>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全过程强化学风教育。将学风和学术道德作为入学教育重要内容，精设计、准发力、求实效，牢固树立育人为本、因材施教的思想，全面实施学风建设系统工程，制定了一系列学风建设举措，培养素质高、基础厚、能力强，具有创新精神的应用型人才。</w:t>
      </w:r>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snapToGrid w:val="0"/>
          <w:color w:val="auto"/>
          <w:sz w:val="32"/>
          <w:szCs w:val="32"/>
          <w:lang w:val="en-US" w:eastAsia="zh-CN" w:bidi="ar-SA"/>
        </w:rPr>
      </w:pPr>
      <w:r>
        <w:rPr>
          <w:rFonts w:hint="default" w:ascii="Times New Roman" w:hAnsi="Times New Roman" w:eastAsia="仿宋" w:cs="Times New Roman"/>
          <w:b w:val="0"/>
          <w:bCs/>
          <w:color w:val="auto"/>
          <w:sz w:val="32"/>
          <w:szCs w:val="32"/>
          <w:lang w:bidi="ar"/>
        </w:rPr>
        <w:t>（1）</w:t>
      </w:r>
      <w:r>
        <w:rPr>
          <w:rFonts w:hint="default" w:ascii="楷体_GB2312" w:hAnsi="楷体_GB2312" w:eastAsia="楷体_GB2312" w:cs="楷体_GB2312"/>
          <w:b w:val="0"/>
          <w:bCs/>
          <w:snapToGrid w:val="0"/>
          <w:color w:val="auto"/>
          <w:sz w:val="32"/>
          <w:szCs w:val="32"/>
          <w:lang w:val="en-US" w:eastAsia="zh-CN" w:bidi="ar-SA"/>
        </w:rPr>
        <w:t>严守学术道德底线，严把论文质量关</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制定了《研究生学位论文学术不端行为检测及处理办法（暂行）》，严明了学术纪律，坚持了学位论文“双盲审”制度。开展科学道德和学风教育主题教育活动，将对学术道德的建设宣传贯穿研究生的学习与生活日常，引导学生树立正确观念、严守学术道德底线，培育良好学术道德。对研究生学术不端行为零容忍，严格执行学位论文检测办法，重复率超过20% （含20%），一律取消答辩资格。充分发挥导师第一责任人的作用，协助做好学生工作。通过加强学术道德制度建设，扭转学术研究的功利导向与浮躁风气，为师生教研工作和学习的开展营造风清气正的科研环境。</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snapToGrid w:val="0"/>
          <w:color w:val="auto"/>
          <w:sz w:val="32"/>
          <w:szCs w:val="32"/>
          <w:lang w:val="en-US" w:eastAsia="zh-CN" w:bidi="ar-SA"/>
        </w:rPr>
      </w:pPr>
      <w:r>
        <w:rPr>
          <w:rFonts w:hint="default" w:ascii="Times New Roman" w:hAnsi="Times New Roman" w:eastAsia="仿宋" w:cs="Times New Roman"/>
          <w:b w:val="0"/>
          <w:bCs/>
          <w:color w:val="auto"/>
          <w:sz w:val="32"/>
          <w:szCs w:val="32"/>
          <w:lang w:bidi="ar"/>
        </w:rPr>
        <w:t>（2）</w:t>
      </w:r>
      <w:r>
        <w:rPr>
          <w:rFonts w:hint="default" w:ascii="楷体_GB2312" w:hAnsi="楷体_GB2312" w:eastAsia="楷体_GB2312" w:cs="楷体_GB2312"/>
          <w:b w:val="0"/>
          <w:bCs/>
          <w:snapToGrid w:val="0"/>
          <w:color w:val="auto"/>
          <w:sz w:val="32"/>
          <w:szCs w:val="32"/>
          <w:lang w:val="en-US" w:eastAsia="zh-CN" w:bidi="ar-SA"/>
        </w:rPr>
        <w:t>榜样引领，树立崇高学术理想</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研究生入学之初，邀请学科带头人及学科资深教授为新生开办学科介绍讲座，分析未来的学科前沿发展方向，鼓励研究生树立崇高学术理想、勇攀学术高峰。在学期间，学院邀请知名专家学者，围绕学生论文写作技巧、学界热点话题等主题举办学术讲座，通过对专业知识和技能的学习打好坚实的专业基础，鼓励学生在扎实专业的基础上拓宽视野、坚定创新自信、主动担当作为，始终保持对未知领域的好奇心和探索激情，跳出舒适区、勇蹚深水区、敢闯“无人区”，用专业知识真正解决实际问题，不断向科学技术广度和深度进军。</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楷体_GB2312" w:hAnsi="楷体_GB2312" w:eastAsia="楷体_GB2312" w:cs="楷体_GB2312"/>
          <w:b w:val="0"/>
          <w:bCs/>
          <w:color w:val="auto"/>
          <w:sz w:val="32"/>
        </w:rPr>
      </w:pPr>
      <w:bookmarkStart w:id="37" w:name="_Toc122510679"/>
      <w:r>
        <w:rPr>
          <w:rFonts w:hint="default" w:ascii="Times New Roman" w:hAnsi="Times New Roman" w:eastAsia="仿宋" w:cs="Times New Roman"/>
          <w:b w:val="0"/>
          <w:bCs/>
          <w:color w:val="auto"/>
          <w:sz w:val="32"/>
        </w:rPr>
        <w:t>4.</w:t>
      </w:r>
      <w:r>
        <w:rPr>
          <w:rFonts w:hint="default" w:ascii="楷体_GB2312" w:hAnsi="楷体_GB2312" w:eastAsia="楷体_GB2312" w:cs="楷体_GB2312"/>
          <w:b w:val="0"/>
          <w:bCs/>
          <w:color w:val="auto"/>
          <w:sz w:val="32"/>
        </w:rPr>
        <w:t>就业发展</w:t>
      </w:r>
      <w:bookmarkEnd w:id="37"/>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2022学年生物学学位点共有267名毕业生，就业率高达98.1%。毕业生就业积极，就业涉及面广。</w:t>
      </w:r>
    </w:p>
    <w:p>
      <w:pPr>
        <w:pStyle w:val="3"/>
        <w:pageBreakBefore w:val="0"/>
        <w:widowControl/>
        <w:numPr>
          <w:ilvl w:val="0"/>
          <w:numId w:val="1"/>
        </w:numPr>
        <w:kinsoku w:val="0"/>
        <w:wordWrap/>
        <w:overflowPunct/>
        <w:topLinePunct w:val="0"/>
        <w:autoSpaceDE w:val="0"/>
        <w:autoSpaceDN w:val="0"/>
        <w:bidi w:val="0"/>
        <w:adjustRightInd w:val="0"/>
        <w:snapToGrid w:val="0"/>
        <w:spacing w:before="0" w:line="560" w:lineRule="exact"/>
        <w:jc w:val="both"/>
        <w:textAlignment w:val="baseline"/>
        <w:rPr>
          <w:rFonts w:hint="default" w:ascii="Times New Roman" w:hAnsi="Times New Roman" w:eastAsia="黑体" w:cs="Times New Roman"/>
          <w:b w:val="0"/>
          <w:bCs/>
          <w:color w:val="auto"/>
          <w:sz w:val="32"/>
          <w:szCs w:val="32"/>
        </w:rPr>
      </w:pPr>
      <w:bookmarkStart w:id="38" w:name="_Toc122510680"/>
      <w:r>
        <w:rPr>
          <w:rFonts w:hint="default" w:ascii="Times New Roman" w:hAnsi="Times New Roman" w:eastAsia="黑体" w:cs="Times New Roman"/>
          <w:b w:val="0"/>
          <w:bCs/>
          <w:color w:val="auto"/>
          <w:sz w:val="32"/>
          <w:szCs w:val="32"/>
        </w:rPr>
        <w:t>工作特色与成效</w:t>
      </w:r>
      <w:bookmarkEnd w:id="38"/>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在校党委和院党委的正确指导下，以习近平新时代中国特色社会主义思想为指导，坚守为党育人为国育才初心使命，将“立德树人、强学报国”理念融入教学、科研、管理、服务的全方位各环节，坚持党建引领学科发展，坚持党团建工作与学科建设有机地融合，深化“三全育人”综合改革，全面提升学院思想政治工作质量，培养德智体美劳全面发展的社会主义建设者和接班人。</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39" w:name="_Toc122510681"/>
      <w:r>
        <w:rPr>
          <w:rFonts w:hint="default" w:ascii="Times New Roman" w:hAnsi="Times New Roman" w:eastAsia="楷体" w:cs="Times New Roman"/>
          <w:b w:val="0"/>
          <w:bCs/>
          <w:color w:val="auto"/>
          <w:sz w:val="32"/>
          <w:szCs w:val="32"/>
        </w:rPr>
        <w:t>（一）党建引领促学位点建设见成效</w:t>
      </w:r>
      <w:bookmarkEnd w:id="39"/>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学位点在学校及学院两级党委的领导下，认真贯彻落实党的教育方针，健全立德树人机制，深化“三全育人”综合改革，全面落实立德树人根本任务；落实“一岗双责”，扎实开展学习贯彻党的二十党代会精神，凝心聚力，让学习教育活动与推动学位点建设与发展紧密结合起来，围绕建设一流学科和一流专业，找准着力点，抓实做强党建工作，强化党组织政治功能，把好学科建设方向，打造师资队伍，提升科研水平，助力一流学科和一流专业创新发展，实现党建工作与教学科研同向发力、互促共进。制定“三全育人”综合改革方案，院领导带头潜心教书育人，带头抓“课程思政”，组织全体教师参加“高校教师课程思政教学能力培训”。</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40" w:name="_Toc122510682"/>
      <w:r>
        <w:rPr>
          <w:rFonts w:hint="default" w:ascii="Times New Roman" w:hAnsi="Times New Roman" w:eastAsia="楷体" w:cs="Times New Roman"/>
          <w:b w:val="0"/>
          <w:bCs/>
          <w:color w:val="auto"/>
          <w:sz w:val="32"/>
          <w:szCs w:val="32"/>
        </w:rPr>
        <w:t>（二）深化研究生教育改革人才培养质量得提升</w:t>
      </w:r>
      <w:bookmarkEnd w:id="40"/>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 w:cs="Times New Roman"/>
          <w:b w:val="0"/>
          <w:bCs/>
          <w:color w:val="auto"/>
          <w:sz w:val="32"/>
        </w:rPr>
      </w:pPr>
      <w:bookmarkStart w:id="41" w:name="_Toc122510683"/>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en-US" w:eastAsia="zh-CN" w:bidi="ar-SA"/>
        </w:rPr>
        <w:t>适应新形势新时代，改革研究生管理模式，探索建立了研究生班级制。</w:t>
      </w:r>
      <w:bookmarkEnd w:id="41"/>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组织成立研究生招生、管理团队，纵向建立班主任制度，已建立13个班级，选任13个班主任（多数为党员），从多角度、多方面开展研究生科研诚信、思想政治、心理疏导、安全教育、就业工作，在研究生健康培养、情怀培养、使命培养等方面发挥作用。</w:t>
      </w:r>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42" w:name="_Toc122510684"/>
      <w:r>
        <w:rPr>
          <w:rFonts w:hint="default" w:ascii="Times New Roman" w:hAnsi="Times New Roman" w:eastAsia="仿宋_GB2312" w:cs="Times New Roman"/>
          <w:b w:val="0"/>
          <w:bCs/>
          <w:snapToGrid w:val="0"/>
          <w:color w:val="auto"/>
          <w:sz w:val="32"/>
          <w:szCs w:val="32"/>
          <w:lang w:val="en-US" w:eastAsia="zh-CN" w:bidi="ar-SA"/>
        </w:rPr>
        <w:t>2.培养目标进一步明确清晰，学位点各专业培养方向的研究领域更加具体化</w:t>
      </w:r>
      <w:bookmarkEnd w:id="42"/>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聚焦新时代新形势，以立德树人为根本，立足东南沿海，服务国家“双碳”等战略和福建“四大经济”等区域经济发展需求。如在博士培养方案中明确了目标是培养具有较高的综合素质和科技创新能力的相关学科领域方面高层次专门人才。不仅要系统掌握专业基础理论，还应熟悉学科研究方向、发展现状及最新前沿动态，具备较强的独立科学研究和学科创新能力。旨在进一步契合相关专业人才的时代性要求，更加适应社会发展对人才培养的新需求。</w:t>
      </w:r>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相较于之前，培养方案中增加了研究方向具体说明，根据相关学科背景和最新进展，细化阐明了各学位点各专业培养研究方向的具体研究范围和培养内容，使其与所在一流学科建设目标和方向保持一致，突出学科特色，强调产业融合、学科交叉，立足国家“双碳”战略和生物经济高质量发展，服务福建经济建设。在完善培养方案过程的同时进一步推动双一流学科建设，实现互促互进。</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43" w:name="_Toc122510685"/>
      <w:r>
        <w:rPr>
          <w:rFonts w:hint="default" w:ascii="Times New Roman" w:hAnsi="Times New Roman" w:eastAsia="仿宋" w:cs="Times New Roman"/>
          <w:b w:val="0"/>
          <w:bCs/>
          <w:color w:val="auto"/>
          <w:sz w:val="32"/>
        </w:rPr>
        <w:t>3.</w:t>
      </w:r>
      <w:r>
        <w:rPr>
          <w:rFonts w:hint="default" w:ascii="Times New Roman" w:hAnsi="Times New Roman" w:eastAsia="仿宋_GB2312" w:cs="Times New Roman"/>
          <w:b w:val="0"/>
          <w:bCs/>
          <w:snapToGrid w:val="0"/>
          <w:color w:val="auto"/>
          <w:sz w:val="32"/>
          <w:szCs w:val="32"/>
          <w:lang w:val="en-US" w:eastAsia="zh-CN" w:bidi="ar-SA"/>
        </w:rPr>
        <w:t>优化培养方案学科课程结构，实现课程“五育并举”以及个性化、方向性设置。</w:t>
      </w:r>
      <w:bookmarkEnd w:id="43"/>
    </w:p>
    <w:p>
      <w:pPr>
        <w:pStyle w:val="2"/>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r>
        <w:rPr>
          <w:rFonts w:hint="default" w:ascii="Times New Roman" w:hAnsi="Times New Roman" w:eastAsia="仿宋_GB2312" w:cs="Times New Roman"/>
          <w:b w:val="0"/>
          <w:bCs/>
          <w:snapToGrid w:val="0"/>
          <w:color w:val="auto"/>
          <w:sz w:val="32"/>
          <w:szCs w:val="32"/>
          <w:lang w:val="en-US" w:eastAsia="zh-CN" w:bidi="ar-SA"/>
        </w:rPr>
        <w:t>安排校科研杰出人才、融合海研院人才徐通达、熊延等老师担任研究生课程，将学科研究新进展、实践发展新经验、社会需求新变化及时纳入课堂和教材；通过推进课程内容更新、扩大感兴趣班次及人数如《生物信息学》、《现代分子生物学实验技术与仪器分析》等课程满足学生需求，构建思想政治教育与专业教育有机融合的课程体系，构建形成以学生为中心、以产出为导向、持续加强改进的研究生培养体系，适应新时代对人才培养新要求，培养研究生高质量人才。</w:t>
      </w:r>
    </w:p>
    <w:p>
      <w:pPr>
        <w:pStyle w:val="3"/>
        <w:pageBreakBefore w:val="0"/>
        <w:widowControl/>
        <w:numPr>
          <w:ilvl w:val="0"/>
          <w:numId w:val="1"/>
        </w:numPr>
        <w:kinsoku w:val="0"/>
        <w:wordWrap/>
        <w:overflowPunct/>
        <w:topLinePunct w:val="0"/>
        <w:autoSpaceDE w:val="0"/>
        <w:autoSpaceDN w:val="0"/>
        <w:bidi w:val="0"/>
        <w:adjustRightInd w:val="0"/>
        <w:snapToGrid w:val="0"/>
        <w:spacing w:before="0" w:line="560" w:lineRule="exact"/>
        <w:jc w:val="both"/>
        <w:textAlignment w:val="baseline"/>
        <w:rPr>
          <w:rFonts w:hint="default" w:ascii="Times New Roman" w:hAnsi="Times New Roman" w:eastAsia="黑体" w:cs="Times New Roman"/>
          <w:b w:val="0"/>
          <w:bCs/>
          <w:color w:val="auto"/>
          <w:sz w:val="32"/>
          <w:szCs w:val="32"/>
        </w:rPr>
      </w:pPr>
      <w:bookmarkStart w:id="44" w:name="_Toc122510686"/>
      <w:r>
        <w:rPr>
          <w:rFonts w:hint="default" w:ascii="Times New Roman" w:hAnsi="Times New Roman" w:eastAsia="黑体" w:cs="Times New Roman"/>
          <w:b w:val="0"/>
          <w:bCs/>
          <w:color w:val="auto"/>
          <w:sz w:val="32"/>
          <w:szCs w:val="32"/>
        </w:rPr>
        <w:t>学位点建设存在的主要问题和不足</w:t>
      </w:r>
      <w:bookmarkEnd w:id="44"/>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对照党和国家对教育事业发展的要求，对照学校“双一流”建设的目标，生物学学位授权点在人才培养、学科建设等方面还存在不足，特别是在面向世界科技前沿、面向经济主战场、面向国家重大需求、面向人民生命健康，服务创新驱动发展上还存在较大差距，标志性成果或具有显示度成果不足，第一志愿上线考试依然不足。主要体现在以下几个方面：</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45" w:name="_Toc122510687"/>
      <w:r>
        <w:rPr>
          <w:rFonts w:hint="default" w:ascii="Times New Roman" w:hAnsi="Times New Roman" w:eastAsia="楷体" w:cs="Times New Roman"/>
          <w:b w:val="0"/>
          <w:bCs/>
          <w:color w:val="auto"/>
          <w:sz w:val="32"/>
          <w:szCs w:val="32"/>
        </w:rPr>
        <w:t>（一）导师队伍中，高层次特别是领军人才欠缺</w:t>
      </w:r>
      <w:bookmarkEnd w:id="45"/>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虽然学院教师总量庞大，但学科专任教师底盘总量偏少、拔尖人才少、领军人才和创新团队欠缺，有一定的断层的趋势。学科领军人物、战略科学家的培养或引进需要大力加强。与兄弟院校相比，专任教师职称结构不尽合理，尽管这一年有国家优青人才进入导师队伍，特别是国家级教学名师、国家万人领军人才、杰青等短缺。</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46" w:name="_Toc122510688"/>
      <w:r>
        <w:rPr>
          <w:rFonts w:hint="default" w:ascii="Times New Roman" w:hAnsi="Times New Roman" w:eastAsia="楷体" w:cs="Times New Roman"/>
          <w:b w:val="0"/>
          <w:bCs/>
          <w:color w:val="auto"/>
          <w:sz w:val="32"/>
          <w:szCs w:val="32"/>
        </w:rPr>
        <w:t>（二）高显示度的教学、科研成果缺乏以及成果转化能力偏弱</w:t>
      </w:r>
      <w:bookmarkEnd w:id="46"/>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教师教学与科研能力有待进一步提高，教书育人、科研育人的能力有待提高，服务国家治理体系和治理能力现代化、教育现代化、农业农村现代化和区域经济社会发展的能力有待提高。科研协同创新机制尚未形成，面向国际学术前沿和服务国家重大战略的高水平科研成果较少，科研综合实力和对接社会需求的能力需进一步加强。</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47" w:name="_Toc122510689"/>
      <w:r>
        <w:rPr>
          <w:rFonts w:hint="default" w:ascii="Times New Roman" w:hAnsi="Times New Roman" w:eastAsia="楷体" w:cs="Times New Roman"/>
          <w:b w:val="0"/>
          <w:bCs/>
          <w:color w:val="auto"/>
          <w:sz w:val="32"/>
          <w:szCs w:val="32"/>
        </w:rPr>
        <w:t>（三）学科间交叉融合度不够</w:t>
      </w:r>
      <w:bookmarkEnd w:id="47"/>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生物科学、现代生物技术与制药、资源、环境、材料、信息等学科融合度不足，学科领军人才引进困难，导致交叉学科专业如生物信息学后劲不足。</w:t>
      </w:r>
    </w:p>
    <w:p>
      <w:pPr>
        <w:pStyle w:val="3"/>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黑体" w:cs="Times New Roman"/>
          <w:b w:val="0"/>
          <w:bCs/>
          <w:color w:val="auto"/>
          <w:sz w:val="32"/>
          <w:szCs w:val="32"/>
        </w:rPr>
      </w:pPr>
      <w:bookmarkStart w:id="48" w:name="_Toc122510690"/>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下一年度建设计划</w:t>
      </w:r>
      <w:bookmarkEnd w:id="48"/>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49" w:name="_Toc122510691"/>
      <w:bookmarkStart w:id="50" w:name="_Toc2235"/>
      <w:bookmarkStart w:id="51" w:name="_Toc4429"/>
      <w:bookmarkStart w:id="52" w:name="_Toc7977"/>
      <w:bookmarkStart w:id="53" w:name="_Toc11205"/>
      <w:r>
        <w:rPr>
          <w:rFonts w:hint="default" w:ascii="Times New Roman" w:hAnsi="Times New Roman" w:eastAsia="楷体" w:cs="Times New Roman"/>
          <w:b w:val="0"/>
          <w:bCs/>
          <w:color w:val="auto"/>
          <w:sz w:val="32"/>
          <w:szCs w:val="32"/>
        </w:rPr>
        <w:t>（一）发展目标</w:t>
      </w:r>
      <w:bookmarkEnd w:id="49"/>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54" w:name="_Toc122510692"/>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en-US" w:eastAsia="zh-CN" w:bidi="ar-SA"/>
        </w:rPr>
        <w:t>党建与思想政治</w:t>
      </w:r>
      <w:bookmarkEnd w:id="50"/>
      <w:bookmarkEnd w:id="51"/>
      <w:bookmarkEnd w:id="52"/>
      <w:bookmarkEnd w:id="53"/>
      <w:r>
        <w:rPr>
          <w:rFonts w:hint="default" w:ascii="Times New Roman" w:hAnsi="Times New Roman" w:eastAsia="仿宋_GB2312" w:cs="Times New Roman"/>
          <w:b w:val="0"/>
          <w:bCs/>
          <w:snapToGrid w:val="0"/>
          <w:color w:val="auto"/>
          <w:sz w:val="32"/>
          <w:szCs w:val="32"/>
          <w:lang w:val="en-US" w:eastAsia="zh-CN" w:bidi="ar-SA"/>
        </w:rPr>
        <w:t>建设</w:t>
      </w:r>
      <w:bookmarkEnd w:id="54"/>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习近平新时代中国特色社会主义思想为指导，全面贯彻党的二十大精神，全面贯彻党的教育方针，坚持社会主义办学方向，紧紧围绕为党育人、为国育才的初心和使命，聚焦立德树人、强农兴农根本任务。配合校、院两级党委加强基层党建，确保党的领导始终坚强有力，坚持在创新教育方式中提高政治引领力，着力构建“学科、平台、人才”三位一体的教学科研创新体系，为以育人为中心的教学创造更好的政治引领氛围与学科、学术环境。不断深化研究生思想政治教育改革，以党建为抓手，培育新时代研究生党建示范样板党支部1-2个，着力深入推进高层次高素质创新型人才培养。进一步探索完善研究生导师科研与实践思政培训体系与研究生班主任制度。</w:t>
      </w:r>
      <w:bookmarkStart w:id="55" w:name="_Toc25544"/>
      <w:bookmarkStart w:id="56" w:name="_Toc3834"/>
      <w:bookmarkStart w:id="57" w:name="_Toc1965"/>
      <w:bookmarkStart w:id="58" w:name="_Toc32572"/>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59" w:name="_Toc122510693"/>
      <w:r>
        <w:rPr>
          <w:rFonts w:hint="default" w:ascii="Times New Roman" w:hAnsi="Times New Roman" w:eastAsia="仿宋" w:cs="Times New Roman"/>
          <w:b w:val="0"/>
          <w:bCs/>
          <w:color w:val="auto"/>
          <w:sz w:val="32"/>
        </w:rPr>
        <w:t>2.</w:t>
      </w:r>
      <w:r>
        <w:rPr>
          <w:rFonts w:hint="default" w:ascii="Times New Roman" w:hAnsi="Times New Roman" w:eastAsia="仿宋_GB2312" w:cs="Times New Roman"/>
          <w:b w:val="0"/>
          <w:bCs/>
          <w:snapToGrid w:val="0"/>
          <w:color w:val="auto"/>
          <w:sz w:val="32"/>
          <w:szCs w:val="32"/>
          <w:lang w:val="en-US" w:eastAsia="zh-CN" w:bidi="ar-SA"/>
        </w:rPr>
        <w:t>加强</w:t>
      </w:r>
      <w:bookmarkEnd w:id="55"/>
      <w:bookmarkEnd w:id="56"/>
      <w:bookmarkEnd w:id="57"/>
      <w:bookmarkEnd w:id="58"/>
      <w:r>
        <w:rPr>
          <w:rFonts w:hint="default" w:ascii="Times New Roman" w:hAnsi="Times New Roman" w:eastAsia="仿宋_GB2312" w:cs="Times New Roman"/>
          <w:b w:val="0"/>
          <w:bCs/>
          <w:snapToGrid w:val="0"/>
          <w:color w:val="auto"/>
          <w:sz w:val="32"/>
          <w:szCs w:val="32"/>
          <w:lang w:val="en-US" w:eastAsia="zh-CN" w:bidi="ar-SA"/>
        </w:rPr>
        <w:t>招生工作</w:t>
      </w:r>
      <w:bookmarkEnd w:id="59"/>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进一步规范完善各研究生招生团队招生宣传和导师信息，采取多渠道多形式，广泛发动导师和各方力量，加强2023年研究生招生宣传，有效提高生源质量。根据学校2023年博硕士招生简章制定学院博硕士招生实施细则，加强招生管理，规范招生过程，保障招生工作顺利开展。</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60" w:name="_Toc122510694"/>
      <w:r>
        <w:rPr>
          <w:rFonts w:hint="default" w:ascii="Times New Roman" w:hAnsi="Times New Roman" w:eastAsia="仿宋" w:cs="Times New Roman"/>
          <w:b w:val="0"/>
          <w:bCs/>
          <w:color w:val="auto"/>
          <w:sz w:val="32"/>
        </w:rPr>
        <w:t>3.</w:t>
      </w:r>
      <w:r>
        <w:rPr>
          <w:rFonts w:hint="default" w:ascii="Times New Roman" w:hAnsi="Times New Roman" w:eastAsia="仿宋_GB2312" w:cs="Times New Roman"/>
          <w:b w:val="0"/>
          <w:bCs/>
          <w:snapToGrid w:val="0"/>
          <w:color w:val="auto"/>
          <w:sz w:val="32"/>
          <w:szCs w:val="32"/>
          <w:lang w:val="en-US" w:eastAsia="zh-CN" w:bidi="ar-SA"/>
        </w:rPr>
        <w:t>提升科技创新能力</w:t>
      </w:r>
      <w:bookmarkEnd w:id="60"/>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bookmarkStart w:id="61" w:name="_Toc31428"/>
      <w:bookmarkStart w:id="62" w:name="_Toc23562"/>
      <w:bookmarkStart w:id="63" w:name="_Toc12211"/>
      <w:bookmarkStart w:id="64" w:name="_Toc15187"/>
      <w:r>
        <w:rPr>
          <w:rFonts w:hint="default" w:ascii="Times New Roman" w:hAnsi="Times New Roman" w:eastAsia="仿宋_GB2312" w:cs="Times New Roman"/>
          <w:b w:val="0"/>
          <w:bCs/>
          <w:color w:val="auto"/>
          <w:sz w:val="32"/>
          <w:szCs w:val="32"/>
        </w:rPr>
        <w:t>适应新时代对人才培养新要求，培养研究生高质量人才，根据学科发展目标以及研究生培养导向进一步修订完善2023级研究生培养方案和课程教学体系，切实提高人才培养质量。</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65" w:name="_Toc122510695"/>
      <w:r>
        <w:rPr>
          <w:rFonts w:hint="default" w:ascii="Times New Roman" w:hAnsi="Times New Roman" w:eastAsia="仿宋" w:cs="Times New Roman"/>
          <w:b w:val="0"/>
          <w:bCs/>
          <w:color w:val="auto"/>
          <w:sz w:val="32"/>
        </w:rPr>
        <w:t>4.</w:t>
      </w:r>
      <w:r>
        <w:rPr>
          <w:rFonts w:hint="default" w:ascii="Times New Roman" w:hAnsi="Times New Roman" w:eastAsia="仿宋_GB2312" w:cs="Times New Roman"/>
          <w:b w:val="0"/>
          <w:bCs/>
          <w:snapToGrid w:val="0"/>
          <w:color w:val="auto"/>
          <w:sz w:val="32"/>
          <w:szCs w:val="32"/>
          <w:lang w:val="en-US" w:eastAsia="zh-CN" w:bidi="ar-SA"/>
        </w:rPr>
        <w:t>人才培养</w:t>
      </w:r>
      <w:bookmarkEnd w:id="61"/>
      <w:bookmarkEnd w:id="62"/>
      <w:bookmarkEnd w:id="63"/>
      <w:bookmarkEnd w:id="64"/>
      <w:bookmarkEnd w:id="65"/>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进一步总结健全研究生班主任工作机制，发挥研究生班主任在研究生培养、思政、心理疏导和就业工作等方面的作用。多形式开展研究生党建活动和学术活动，打造从招生、科研、培养、实践和就业的特色思政队伍，不断提升研究生教育水平。进一步深化研究生教育改革，推进研究生高质量培养工作。鼓励教师积极开展教育教学，申报各级各类教育教学改项目。积极开展丰富多样的研究生学术交流活动，通过研究生培训及管理持续加强研究生学术规范和学术道德教育，强化导师育人功能，加强与研究生的沟通交流，探索建立论文质量保障体系。继续提升学生创新能力和实践水平，力争第一署名单位在Nature、Science和Cell顶级刊物上实现突破，省级及以上优秀硕、博论文2-3篇以上，各类学科竞赛获奖5项，其中国际学科竞赛1-2项。</w:t>
      </w:r>
      <w:bookmarkStart w:id="66" w:name="_Toc27875"/>
      <w:bookmarkStart w:id="67" w:name="_Toc15255"/>
      <w:bookmarkStart w:id="68" w:name="_Toc10684"/>
      <w:bookmarkStart w:id="69" w:name="_Toc12139"/>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70" w:name="_Toc122510696"/>
      <w:r>
        <w:rPr>
          <w:rFonts w:hint="default" w:ascii="Times New Roman" w:hAnsi="Times New Roman" w:eastAsia="仿宋" w:cs="Times New Roman"/>
          <w:b w:val="0"/>
          <w:bCs/>
          <w:color w:val="auto"/>
          <w:sz w:val="32"/>
        </w:rPr>
        <w:t>5.</w:t>
      </w:r>
      <w:r>
        <w:rPr>
          <w:rFonts w:hint="default" w:ascii="Times New Roman" w:hAnsi="Times New Roman" w:eastAsia="仿宋_GB2312" w:cs="Times New Roman"/>
          <w:b w:val="0"/>
          <w:bCs/>
          <w:snapToGrid w:val="0"/>
          <w:color w:val="auto"/>
          <w:sz w:val="32"/>
          <w:szCs w:val="32"/>
          <w:lang w:val="en-US" w:eastAsia="zh-CN" w:bidi="ar-SA"/>
        </w:rPr>
        <w:t>师资队伍建设</w:t>
      </w:r>
      <w:bookmarkEnd w:id="66"/>
      <w:bookmarkEnd w:id="67"/>
      <w:bookmarkEnd w:id="68"/>
      <w:bookmarkEnd w:id="69"/>
      <w:bookmarkEnd w:id="70"/>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进一步加强师资队伍建设，按要求遴选2023年硕士生导师和2024年博士生导师，完备生物工程专业硕士校外实践导师队伍。根据学校新出台的研究生导师相关考核办法制定学院导师考核细则，落实研究生导师立德树人职责。加强研究生导师培训体系，拟开展二次导师培训，切实提高导师队伍自身水平，保证研究生培养质量。</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采用外引内培，整合校内外人才资源，优化人才队伍与创新团队结构，打造一个政治素质过硬、学缘相对合理、老中青布局相对均衡的可持续发展队伍，为学科的高速发展奠定基础。引进国际高水平创新领军人才1人，引进国内外优秀博士2-3人；</w:t>
      </w:r>
      <w:r>
        <w:rPr>
          <w:rFonts w:hint="default" w:ascii="Times New Roman" w:hAnsi="Times New Roman" w:eastAsia="仿宋_GB2312" w:cs="Times New Roman"/>
          <w:b w:val="0"/>
          <w:bCs/>
          <w:color w:val="auto"/>
          <w:sz w:val="32"/>
          <w:szCs w:val="32"/>
          <w:highlight w:val="none"/>
        </w:rPr>
        <w:t>新</w:t>
      </w:r>
      <w:r>
        <w:rPr>
          <w:rFonts w:hint="default" w:ascii="Times New Roman" w:hAnsi="Times New Roman" w:eastAsia="仿宋_GB2312" w:cs="Times New Roman"/>
          <w:b w:val="0"/>
          <w:bCs/>
          <w:color w:val="auto"/>
          <w:sz w:val="32"/>
          <w:szCs w:val="32"/>
        </w:rPr>
        <w:t>增国家重大人才计划</w:t>
      </w:r>
      <w:r>
        <w:rPr>
          <w:rFonts w:hint="eastAsia" w:ascii="Times New Roman" w:hAnsi="Times New Roman" w:eastAsia="仿宋_GB2312" w:cs="Times New Roman"/>
          <w:b w:val="0"/>
          <w:bCs/>
          <w:color w:val="auto"/>
          <w:sz w:val="32"/>
          <w:szCs w:val="32"/>
          <w:lang w:val="en-US" w:eastAsia="zh-CN"/>
        </w:rPr>
        <w:t>人才</w:t>
      </w:r>
      <w:r>
        <w:rPr>
          <w:rFonts w:hint="default" w:ascii="Times New Roman" w:hAnsi="Times New Roman" w:eastAsia="仿宋_GB2312" w:cs="Times New Roman"/>
          <w:b w:val="0"/>
          <w:bCs/>
          <w:color w:val="auto"/>
          <w:sz w:val="32"/>
          <w:szCs w:val="32"/>
        </w:rPr>
        <w:t>、“长江学者或青年长江学者”、“国家杰出青年科学基金”或“国家优秀青年科学基金”或国家百千万人才等国家级人才1人；新增福建省“双百计划”人才等省级人才1-2人，培养优秀中青年学术骨干10人。争取有1个团队入选国家级创新团队，包括教育部或科技部创新团队或国家自然科学基金创新研究群体。</w:t>
      </w:r>
      <w:bookmarkStart w:id="71" w:name="_Toc24215"/>
      <w:bookmarkStart w:id="72" w:name="_Toc8968"/>
      <w:bookmarkStart w:id="73" w:name="_Toc25564"/>
      <w:bookmarkStart w:id="74" w:name="_Toc27667"/>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75" w:name="_Toc122510697"/>
      <w:r>
        <w:rPr>
          <w:rFonts w:hint="default" w:ascii="Times New Roman" w:hAnsi="Times New Roman" w:eastAsia="仿宋" w:cs="Times New Roman"/>
          <w:b w:val="0"/>
          <w:bCs/>
          <w:color w:val="auto"/>
          <w:sz w:val="32"/>
        </w:rPr>
        <w:t>6.</w:t>
      </w:r>
      <w:r>
        <w:rPr>
          <w:rFonts w:hint="default" w:ascii="Times New Roman" w:hAnsi="Times New Roman" w:eastAsia="仿宋_GB2312" w:cs="Times New Roman"/>
          <w:b w:val="0"/>
          <w:bCs/>
          <w:snapToGrid w:val="0"/>
          <w:color w:val="auto"/>
          <w:sz w:val="32"/>
          <w:szCs w:val="32"/>
          <w:lang w:val="en-US" w:eastAsia="zh-CN" w:bidi="ar-SA"/>
        </w:rPr>
        <w:t>国际交流与合作</w:t>
      </w:r>
      <w:bookmarkEnd w:id="71"/>
      <w:bookmarkEnd w:id="72"/>
      <w:bookmarkEnd w:id="73"/>
      <w:bookmarkEnd w:id="74"/>
      <w:bookmarkEnd w:id="75"/>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巩固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十三五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期间与国内外院校建立的联合办学与科研合作关系，力争新增与世界名校建立合作办学、联合培养机制。积极承担菌草援外与合作项目，通过技术援外，促进与受援助国家的友好往来、传播中国文化、加强经贸合作、提升中国国际形象，推动国际化发展。力争新增国家留学基金委“中美加拔尖农业生物学创新型人才联合培养项目”1项；选派2-3名以上博、硕士到美国亚利桑那大学、加拿大萨斯卡彻温大学、美国伊利诺伊大学香槟分校、美国加州大学河滨分校、德州农工大学等国际知名大学进行交流学习，吸引国际学生来本学科攻读博、硕士学位或参加博士后研究2-3人次。</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全职或柔性引进人才的方式，聘请1-2国际知名专家学者到院任职，开展教学和合作研究工作。定期开展论坛、线上会议等多种形式的学术交流，在技术和思路上进行有效互助，合作发表论文成果。承办1-2场国际学术会议，选派研究生参加国际学</w:t>
      </w:r>
    </w:p>
    <w:p>
      <w:pPr>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术会议/做报告3-5人次。</w:t>
      </w:r>
      <w:bookmarkStart w:id="76" w:name="_Toc24962"/>
      <w:bookmarkStart w:id="77" w:name="_Toc9622"/>
      <w:bookmarkStart w:id="78" w:name="_Toc26790"/>
      <w:bookmarkStart w:id="79" w:name="_Toc26593"/>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80" w:name="_Toc122510698"/>
      <w:r>
        <w:rPr>
          <w:rFonts w:hint="default" w:ascii="Times New Roman" w:hAnsi="Times New Roman" w:eastAsia="仿宋" w:cs="Times New Roman"/>
          <w:b w:val="0"/>
          <w:bCs/>
          <w:color w:val="auto"/>
          <w:sz w:val="32"/>
        </w:rPr>
        <w:t>7.</w:t>
      </w:r>
      <w:r>
        <w:rPr>
          <w:rFonts w:hint="default" w:ascii="Times New Roman" w:hAnsi="Times New Roman" w:eastAsia="仿宋_GB2312" w:cs="Times New Roman"/>
          <w:b w:val="0"/>
          <w:bCs/>
          <w:snapToGrid w:val="0"/>
          <w:color w:val="auto"/>
          <w:sz w:val="32"/>
          <w:szCs w:val="32"/>
          <w:lang w:val="en-US" w:eastAsia="zh-CN" w:bidi="ar-SA"/>
        </w:rPr>
        <w:t>科技援外与社会服务</w:t>
      </w:r>
      <w:bookmarkEnd w:id="76"/>
      <w:bookmarkEnd w:id="77"/>
      <w:bookmarkEnd w:id="78"/>
      <w:bookmarkEnd w:id="79"/>
      <w:bookmarkEnd w:id="80"/>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把服务区域战略发展摆在学科发展全局的重要位置，紧密围绕地方发展需求，结合学科基础和特色，依托扣菌草、食用菌、生物农药等特色研究优势，有效整合国家菌草工程技术研究中心、菌物研究中心、福建农林大学（古田）菌业研究院等资源力量，根据地方产业需求，以提高农业种业质量效益和竞争力、推动乡村振兴建设为导向，发挥专业优势，深入实施菌草、食用菌良种联合攻关，培育创新区域发展特色农业新品种，增加具有知识产权的新品种1-2个。通过项目合作的方式，充分发挥龙头企业在乡村振兴中的重要作用，在十四五期间，努力拓展新的合作企业（合作社）2-3家，与企业开展关键问题联合攻关，有效提升农业企业科研实力，以创新驱动为地方农业企业提供稳定发展的不竭动力，以产业兴旺助力乡村振兴，争取横向项目经费300万元以上，成果转化2～3项。</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充分利用“福建农林大学（古田）菌业研究院”等地方型服务平台，通过“高校+科研示范基地+区域示范基地+N个企业（合作社）+农户”的新型农技推广体系，将本学科绿色生物农药应用技术及食用菌高效栽培技术等技术直接服务于农业生产一线，助力绿色农业发展，推进农业农村现代化。</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积极承担菌草援外与合作项目，着力为国家“一带一路”外交战略作贡献。通过科技培训、现场观摩等形式，开展相关产业技术培训，并加强训后技术指导和跟踪服务，培育一批农业示范点，培养造就一批能够引领一方、带动一片的农村实用人才带头人。积极探索建立特色优势学科（菌草、生物医药）的农技培训和产学研校地、校企合作的长期创收机制，探索实现对外农技培训与对内师资培训、对外社会服务与人才柔性引进相融合开展，以增收优势项目反哺学院人才培养，在创收学科和科研创新学科之间建立起共生共长机制。</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楷体" w:cs="Times New Roman"/>
          <w:b w:val="0"/>
          <w:bCs/>
          <w:color w:val="auto"/>
          <w:sz w:val="32"/>
          <w:szCs w:val="32"/>
        </w:rPr>
      </w:pPr>
      <w:bookmarkStart w:id="81" w:name="_Toc122510699"/>
      <w:r>
        <w:rPr>
          <w:rFonts w:hint="default" w:ascii="Times New Roman" w:hAnsi="Times New Roman" w:eastAsia="楷体" w:cs="Times New Roman"/>
          <w:b w:val="0"/>
          <w:bCs/>
          <w:color w:val="auto"/>
          <w:sz w:val="32"/>
          <w:szCs w:val="32"/>
        </w:rPr>
        <w:t>（二）保障措施</w:t>
      </w:r>
      <w:bookmarkEnd w:id="81"/>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82" w:name="_Toc65189935"/>
      <w:bookmarkStart w:id="83" w:name="_Toc65240108"/>
      <w:bookmarkStart w:id="84" w:name="_Toc122510700"/>
      <w:r>
        <w:rPr>
          <w:rFonts w:hint="default" w:ascii="Times New Roman" w:hAnsi="Times New Roman" w:eastAsia="仿宋" w:cs="Times New Roman"/>
          <w:b w:val="0"/>
          <w:bCs/>
          <w:color w:val="auto"/>
          <w:sz w:val="32"/>
        </w:rPr>
        <w:t>1.</w:t>
      </w:r>
      <w:r>
        <w:rPr>
          <w:rFonts w:hint="default" w:ascii="Times New Roman" w:hAnsi="Times New Roman" w:eastAsia="仿宋_GB2312" w:cs="Times New Roman"/>
          <w:b w:val="0"/>
          <w:bCs/>
          <w:snapToGrid w:val="0"/>
          <w:color w:val="auto"/>
          <w:sz w:val="32"/>
          <w:szCs w:val="32"/>
          <w:lang w:val="en-US" w:eastAsia="zh-CN" w:bidi="ar-SA"/>
        </w:rPr>
        <w:t>充分发挥学院党委政治核心作用，加强党对学位点建设的全面领导，推动学院学位点高质量发展</w:t>
      </w:r>
      <w:bookmarkEnd w:id="82"/>
      <w:bookmarkEnd w:id="83"/>
      <w:bookmarkEnd w:id="84"/>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是紧密围绕立德树人中心工作，再学习再调研再落实：不忘初心，深学细悟，掌握核心要义，在学院学位点建设中坚决做到“两个维护”，将党支部建在学科、科研团队、专业、班级上，配齐配强党支部书记，在全面落实教师党支部书记“双带头人”要求的基础上，巩固提升4个省级样板支部建设，探索形成师生党支部“五同五创”协同育人模式。加强研究生课程思政与思政课程建设：不断优化专业课程体系，深化研究生教育教学改革，进一步凝炼有学科特色的“课程思政”教学策略和案例教学资源库，落实立德树人根本任务。</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二是党</w:t>
      </w:r>
      <w:r>
        <w:rPr>
          <w:rFonts w:hint="default" w:ascii="Times New Roman" w:hAnsi="Times New Roman" w:eastAsia="仿宋_GB2312" w:cs="Times New Roman"/>
          <w:b w:val="0"/>
          <w:bCs/>
          <w:snapToGrid w:val="0"/>
          <w:color w:val="auto"/>
          <w:sz w:val="32"/>
          <w:szCs w:val="32"/>
          <w:lang w:val="en-US" w:eastAsia="zh-CN" w:bidi="ar-SA"/>
        </w:rPr>
        <w:t>建引领学科建设，始终坚持以抓好学院党的建设来引领和推动学科建设，重点抓好党支部“达</w:t>
      </w:r>
      <w:r>
        <w:rPr>
          <w:rFonts w:hint="default" w:ascii="Times New Roman" w:hAnsi="Times New Roman" w:eastAsia="仿宋_GB2312" w:cs="Times New Roman"/>
          <w:b w:val="0"/>
          <w:bCs/>
          <w:color w:val="auto"/>
          <w:sz w:val="32"/>
          <w:szCs w:val="32"/>
        </w:rPr>
        <w:t>标创星”工作量化考核，学院加强制度顶层设计，进一步鼓励学院教师和科研团队党支部，服务区域经济发展开展技术服务和产业帮扶，助力巩固脱贫攻坚成果：创建示范创业园，选育食用菌新品种新技术，开展技术培训，提供发展规划与技术指导。巩固拓展脱贫攻坚成果，全面推进乡村振兴战略。</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三是着力构建新时代学生思想政治教育体系，以开展创新性主题教育活动 为带动，扎实推动研究生全面发展，全员、全过程、全方位的“三全”育人格局。用习近平新时代中国特色社会主义思想武装学生头脑，内化于心，外化于行，做到学思用贯通、知信行统一。</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四是坚持问题导向，建章立制，不断提升学院学位点管理水平，根据新时代教育评价改革总体方案的要求，制定和完善了学院党委会、党政联席会议议事规则和学院职称评聘师德师风和意识形态考核办法。</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85" w:name="_Toc65189936"/>
      <w:bookmarkStart w:id="86" w:name="_Toc65240109"/>
      <w:bookmarkStart w:id="87" w:name="_Toc122510701"/>
      <w:r>
        <w:rPr>
          <w:rFonts w:hint="default" w:ascii="Times New Roman" w:hAnsi="Times New Roman" w:eastAsia="仿宋" w:cs="Times New Roman"/>
          <w:b w:val="0"/>
          <w:bCs/>
          <w:color w:val="auto"/>
          <w:sz w:val="32"/>
        </w:rPr>
        <w:t>2.</w:t>
      </w:r>
      <w:r>
        <w:rPr>
          <w:rFonts w:hint="default" w:ascii="Times New Roman" w:hAnsi="Times New Roman" w:eastAsia="仿宋_GB2312" w:cs="Times New Roman"/>
          <w:b w:val="0"/>
          <w:bCs/>
          <w:snapToGrid w:val="0"/>
          <w:color w:val="auto"/>
          <w:sz w:val="32"/>
          <w:szCs w:val="32"/>
          <w:lang w:val="en-US" w:eastAsia="zh-CN" w:bidi="ar-SA"/>
        </w:rPr>
        <w:t>制度保障</w:t>
      </w:r>
      <w:bookmarkEnd w:id="85"/>
      <w:bookmarkEnd w:id="86"/>
      <w:bookmarkEnd w:id="87"/>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snapToGrid w:val="0"/>
          <w:color w:val="auto"/>
          <w:sz w:val="32"/>
          <w:szCs w:val="32"/>
          <w:lang w:val="en-US" w:eastAsia="zh-CN" w:bidi="ar-SA"/>
        </w:rPr>
        <w:t>以学院规划</w:t>
      </w:r>
      <w:r>
        <w:rPr>
          <w:rFonts w:hint="default" w:ascii="Times New Roman" w:hAnsi="Times New Roman" w:eastAsia="仿宋_GB2312" w:cs="Times New Roman"/>
          <w:b w:val="0"/>
          <w:bCs/>
          <w:color w:val="auto"/>
          <w:sz w:val="32"/>
          <w:szCs w:val="32"/>
        </w:rPr>
        <w:t>章程为统领，在招生措施、师资队伍、人才培养、科研创新等方面加大政策性支持，注重弥补师资队伍短板，全力推动建设有农林的特色的国家一流生物学学科。建立“贡献-权益”相匹配的绩效考核与激励机制，推动各团队主动参与学位点建设的热情，营造鼓励积极、奖励先进、奋发向上的工作氛围。</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88" w:name="_Toc65189937"/>
      <w:bookmarkStart w:id="89" w:name="_Toc65240110"/>
      <w:bookmarkStart w:id="90" w:name="_Toc122510702"/>
      <w:r>
        <w:rPr>
          <w:rFonts w:hint="default" w:ascii="Times New Roman" w:hAnsi="Times New Roman" w:eastAsia="仿宋" w:cs="Times New Roman"/>
          <w:b w:val="0"/>
          <w:bCs/>
          <w:color w:val="auto"/>
          <w:sz w:val="32"/>
        </w:rPr>
        <w:t>3.</w:t>
      </w:r>
      <w:r>
        <w:rPr>
          <w:rFonts w:hint="default" w:ascii="Times New Roman" w:hAnsi="Times New Roman" w:eastAsia="仿宋_GB2312" w:cs="Times New Roman"/>
          <w:b w:val="0"/>
          <w:bCs/>
          <w:snapToGrid w:val="0"/>
          <w:color w:val="auto"/>
          <w:sz w:val="32"/>
          <w:szCs w:val="32"/>
          <w:lang w:val="en-US" w:eastAsia="zh-CN" w:bidi="ar-SA"/>
        </w:rPr>
        <w:t>平台保障</w:t>
      </w:r>
      <w:bookmarkEnd w:id="88"/>
      <w:bookmarkEnd w:id="89"/>
      <w:bookmarkEnd w:id="90"/>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snapToGrid w:val="0"/>
          <w:color w:val="auto"/>
          <w:sz w:val="32"/>
          <w:szCs w:val="32"/>
          <w:lang w:val="en-US" w:eastAsia="zh-CN" w:bidi="ar-SA"/>
        </w:rPr>
        <w:t>整合学院现有实验</w:t>
      </w:r>
      <w:r>
        <w:rPr>
          <w:rFonts w:hint="default" w:ascii="Times New Roman" w:hAnsi="Times New Roman" w:eastAsia="仿宋_GB2312" w:cs="Times New Roman"/>
          <w:b w:val="0"/>
          <w:bCs/>
          <w:color w:val="auto"/>
          <w:sz w:val="32"/>
          <w:szCs w:val="32"/>
        </w:rPr>
        <w:t>教学中心资源，积极争取相关建设资金支持和增加实验用房，建设国家级实验教学平台或虚拟仿真实验教学中心；完善教学实践基地基本条件及配套设施；加强对实验中心及教学实践基地的管理与内涵建设，为学院高质量学位点建设与人才培养提供良好平台保障。规范实验师资队伍的建设与管理，定期开展实验技术人员的实验技能培训，完善实验技术人员激励考核机制及相关激励机制，调动实验师资队伍的积极性。</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91" w:name="_Toc65189938"/>
      <w:bookmarkStart w:id="92" w:name="_Toc65240111"/>
      <w:bookmarkStart w:id="93" w:name="_Toc122510703"/>
      <w:r>
        <w:rPr>
          <w:rFonts w:hint="default" w:ascii="Times New Roman" w:hAnsi="Times New Roman" w:eastAsia="仿宋" w:cs="Times New Roman"/>
          <w:b w:val="0"/>
          <w:bCs/>
          <w:color w:val="auto"/>
          <w:sz w:val="32"/>
        </w:rPr>
        <w:t>4.</w:t>
      </w:r>
      <w:r>
        <w:rPr>
          <w:rFonts w:hint="default" w:ascii="Times New Roman" w:hAnsi="Times New Roman" w:eastAsia="仿宋_GB2312" w:cs="Times New Roman"/>
          <w:b w:val="0"/>
          <w:bCs/>
          <w:snapToGrid w:val="0"/>
          <w:color w:val="auto"/>
          <w:sz w:val="32"/>
          <w:szCs w:val="32"/>
          <w:lang w:val="en-US" w:eastAsia="zh-CN" w:bidi="ar-SA"/>
        </w:rPr>
        <w:t>人才保障</w:t>
      </w:r>
      <w:bookmarkEnd w:id="91"/>
      <w:bookmarkEnd w:id="92"/>
      <w:bookmarkEnd w:id="93"/>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snapToGrid w:val="0"/>
          <w:color w:val="auto"/>
          <w:sz w:val="32"/>
          <w:szCs w:val="32"/>
          <w:lang w:val="en-US" w:eastAsia="zh-CN" w:bidi="ar-SA"/>
        </w:rPr>
        <w:t>通过外部引进与内</w:t>
      </w:r>
      <w:r>
        <w:rPr>
          <w:rFonts w:hint="default" w:ascii="Times New Roman" w:hAnsi="Times New Roman" w:eastAsia="仿宋_GB2312" w:cs="Times New Roman"/>
          <w:b w:val="0"/>
          <w:bCs/>
          <w:color w:val="auto"/>
          <w:sz w:val="32"/>
          <w:szCs w:val="32"/>
        </w:rPr>
        <w:t>部培养结合，加强师资队伍与科研团队建设。重点引进高水平和高层次青年人才，把师资队伍建设落实到生物学下设二级学科（学科方向）学科带头人和科研团队建设中。通过推动年轻教师加入科研团队，明确学科方向，加快年轻教师成长。多渠道为优秀教师从事高层次教学或学术交流创造条件，鼓励中青年骨干教师到国内外著名大学进行交流或访学。</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完善教学团队合作机制，以专业带头人带领教师梯队的结构模式，支撑重点专业的建设和发展；积极鼓励和引导骨干教师投身专业建设与课程改革实践，配合专业带头人建设优秀教学团队。</w:t>
      </w:r>
    </w:p>
    <w:p>
      <w:pPr>
        <w:pStyle w:val="5"/>
        <w:pageBreakBefore w:val="0"/>
        <w:widowControl/>
        <w:tabs>
          <w:tab w:val="left" w:pos="312"/>
        </w:tabs>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snapToGrid w:val="0"/>
          <w:color w:val="auto"/>
          <w:sz w:val="32"/>
          <w:szCs w:val="32"/>
          <w:lang w:val="en-US" w:eastAsia="zh-CN" w:bidi="ar-SA"/>
        </w:rPr>
      </w:pPr>
      <w:bookmarkStart w:id="94" w:name="_Toc65240112"/>
      <w:bookmarkStart w:id="95" w:name="_Toc65189939"/>
      <w:bookmarkStart w:id="96" w:name="_Toc122510704"/>
      <w:r>
        <w:rPr>
          <w:rFonts w:hint="default" w:ascii="Times New Roman" w:hAnsi="Times New Roman" w:eastAsia="仿宋" w:cs="Times New Roman"/>
          <w:b w:val="0"/>
          <w:bCs/>
          <w:color w:val="auto"/>
          <w:sz w:val="32"/>
        </w:rPr>
        <w:t>5.</w:t>
      </w:r>
      <w:r>
        <w:rPr>
          <w:rFonts w:hint="default" w:ascii="Times New Roman" w:hAnsi="Times New Roman" w:eastAsia="仿宋_GB2312" w:cs="Times New Roman"/>
          <w:b w:val="0"/>
          <w:bCs/>
          <w:snapToGrid w:val="0"/>
          <w:color w:val="auto"/>
          <w:sz w:val="32"/>
          <w:szCs w:val="32"/>
          <w:lang w:val="en-US" w:eastAsia="zh-CN" w:bidi="ar-SA"/>
        </w:rPr>
        <w:t>资金保障</w:t>
      </w:r>
      <w:bookmarkEnd w:id="94"/>
      <w:bookmarkEnd w:id="95"/>
      <w:bookmarkEnd w:id="96"/>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snapToGrid w:val="0"/>
          <w:color w:val="auto"/>
          <w:sz w:val="32"/>
          <w:szCs w:val="32"/>
          <w:lang w:val="en-US" w:eastAsia="zh-CN" w:bidi="ar-SA"/>
        </w:rPr>
        <w:t>按照有所为、有</w:t>
      </w:r>
      <w:r>
        <w:rPr>
          <w:rFonts w:hint="default" w:ascii="Times New Roman" w:hAnsi="Times New Roman" w:eastAsia="仿宋_GB2312" w:cs="Times New Roman"/>
          <w:b w:val="0"/>
          <w:bCs/>
          <w:color w:val="auto"/>
          <w:sz w:val="32"/>
          <w:szCs w:val="32"/>
        </w:rPr>
        <w:t>所不为、有所先为、有所后为的原则，优化资源配置，预算安排和资金投入优先保证重点方向、重点项目、重点人才、重点平台</w:t>
      </w:r>
      <w:r>
        <w:rPr>
          <w:rFonts w:hint="eastAsia" w:ascii="Times New Roman" w:hAnsi="Times New Roman" w:eastAsia="仿宋_GB2312" w:cs="Times New Roman"/>
          <w:b w:val="0"/>
          <w:bCs/>
          <w:color w:val="auto"/>
          <w:sz w:val="32"/>
          <w:szCs w:val="32"/>
          <w:lang w:eastAsia="zh-CN"/>
        </w:rPr>
        <w:t>。</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加强教学与科技创新能力，积极申报和承担教研与科研课题，积极开展国际间科研合作，争取更多的教学与科研经费和建设经费。</w:t>
      </w:r>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广开思路，积极筹措资金，争取社会资金支持，保障学位点建设发展经费。</w:t>
      </w:r>
    </w:p>
    <w:sectPr>
      <w:footerReference r:id="rId5" w:type="default"/>
      <w:pgSz w:w="11905" w:h="16840"/>
      <w:pgMar w:top="2098" w:right="1474" w:bottom="1984" w:left="1587" w:header="0" w:footer="1276"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firstLine="2933"/>
      <w:rPr>
        <w:rFonts w:eastAsia="楷体"/>
        <w:color w:val="auto"/>
        <w:sz w:val="32"/>
        <w:szCs w:val="32"/>
      </w:rPr>
    </w:pPr>
    <w:r>
      <w:rPr>
        <w:rFonts w:ascii="Times New Roman" w:hAnsi="Times New Roman" w:eastAsia="Times New Roman" w:cs="Times New Roman"/>
        <w:b/>
        <w:bCs/>
        <w:color w:val="auto"/>
        <w:spacing w:val="-7"/>
        <w:sz w:val="32"/>
        <w:szCs w:val="32"/>
      </w:rPr>
      <w:t>20</w:t>
    </w:r>
    <w:r>
      <w:rPr>
        <w:rFonts w:hint="eastAsia" w:ascii="Times New Roman" w:hAnsi="Times New Roman" w:eastAsia="宋体" w:cs="Times New Roman"/>
        <w:b/>
        <w:bCs/>
        <w:color w:val="auto"/>
        <w:spacing w:val="-7"/>
        <w:sz w:val="32"/>
        <w:szCs w:val="32"/>
      </w:rPr>
      <w:t>2</w:t>
    </w:r>
    <w:r>
      <w:rPr>
        <w:rFonts w:ascii="Times New Roman" w:hAnsi="Times New Roman" w:eastAsia="宋体" w:cs="Times New Roman"/>
        <w:b/>
        <w:bCs/>
        <w:color w:val="auto"/>
        <w:spacing w:val="-7"/>
        <w:sz w:val="32"/>
        <w:szCs w:val="32"/>
      </w:rPr>
      <w:t>2</w:t>
    </w:r>
    <w:r>
      <w:rPr>
        <w:rFonts w:hint="eastAsia" w:ascii="Times New Roman" w:hAnsi="Times New Roman" w:eastAsia="宋体" w:cs="Times New Roman"/>
        <w:b/>
        <w:bCs/>
        <w:color w:val="auto"/>
        <w:spacing w:val="-7"/>
        <w:sz w:val="32"/>
        <w:szCs w:val="32"/>
      </w:rPr>
      <w:t xml:space="preserve"> </w:t>
    </w:r>
    <w:r>
      <w:rPr>
        <w:rFonts w:hint="eastAsia" w:ascii="楷体" w:hAnsi="楷体" w:eastAsia="楷体" w:cs="楷体"/>
        <w:b/>
        <w:bCs/>
        <w:color w:val="auto"/>
        <w:spacing w:val="-7"/>
        <w:sz w:val="32"/>
        <w:szCs w:val="32"/>
      </w:rPr>
      <w:t>年</w:t>
    </w:r>
    <w:r>
      <w:rPr>
        <w:rFonts w:ascii="Times New Roman" w:hAnsi="Times New Roman" w:eastAsia="宋体" w:cs="Times New Roman"/>
        <w:b/>
        <w:bCs/>
        <w:color w:val="auto"/>
        <w:spacing w:val="-7"/>
        <w:sz w:val="32"/>
        <w:szCs w:val="32"/>
      </w:rPr>
      <w:t xml:space="preserve"> </w:t>
    </w:r>
    <w:r>
      <w:rPr>
        <w:rFonts w:ascii="Times New Roman" w:hAnsi="Times New Roman" w:eastAsia="Times New Roman" w:cs="Times New Roman"/>
        <w:b/>
        <w:bCs/>
        <w:color w:val="auto"/>
        <w:spacing w:val="-7"/>
        <w:sz w:val="32"/>
        <w:szCs w:val="32"/>
      </w:rPr>
      <w:t>1</w:t>
    </w:r>
    <w:r>
      <w:rPr>
        <w:rFonts w:hint="eastAsia" w:ascii="Times New Roman" w:hAnsi="Times New Roman" w:eastAsia="宋体" w:cs="Times New Roman"/>
        <w:b/>
        <w:bCs/>
        <w:color w:val="auto"/>
        <w:spacing w:val="-7"/>
        <w:sz w:val="32"/>
        <w:szCs w:val="32"/>
      </w:rPr>
      <w:t xml:space="preserve">2 </w:t>
    </w:r>
    <w:r>
      <w:rPr>
        <w:rFonts w:ascii="楷体" w:hAnsi="楷体" w:eastAsia="楷体" w:cs="楷体"/>
        <w:color w:val="auto"/>
        <w:spacing w:val="-7"/>
        <w:sz w:val="32"/>
        <w:szCs w:val="32"/>
        <w14:textOutline w14:w="3810" w14:cap="flat" w14:cmpd="sng" w14:algn="ctr">
          <w14:solidFill>
            <w14:srgbClr w14:val="000000"/>
          </w14:solidFill>
          <w14:prstDash w14:val="solid"/>
          <w14:miter w14:val="0"/>
        </w14:textOutline>
      </w:rPr>
      <w:t>月</w:t>
    </w:r>
    <w:r>
      <w:rPr>
        <w:rFonts w:hint="eastAsia" w:ascii="楷体" w:hAnsi="楷体" w:eastAsia="楷体" w:cs="楷体"/>
        <w:color w:val="auto"/>
        <w:spacing w:val="-7"/>
        <w:sz w:val="32"/>
        <w:szCs w:val="32"/>
        <w14:textOutline w14:w="3810" w14:cap="flat" w14:cmpd="sng" w14:algn="ctr">
          <w14:solidFill>
            <w14:srgbClr w14:val="000000"/>
          </w14:solidFill>
          <w14:prstDash w14:val="solid"/>
          <w14:miter w14:val="0"/>
        </w14:textOutline>
      </w:rPr>
      <w:t xml:space="preserve"> </w:t>
    </w:r>
    <w:r>
      <w:rPr>
        <w:rFonts w:hint="eastAsia" w:ascii="楷体" w:hAnsi="楷体" w:eastAsia="楷体" w:cs="楷体"/>
        <w:color w:val="auto"/>
        <w:spacing w:val="-7"/>
        <w:sz w:val="32"/>
        <w:szCs w:val="32"/>
        <w:lang w:val="en-US" w:eastAsia="zh-CN"/>
        <w14:textOutline w14:w="3810" w14:cap="flat" w14:cmpd="sng" w14:algn="ctr">
          <w14:solidFill>
            <w14:srgbClr w14:val="000000"/>
          </w14:solidFill>
          <w14:prstDash w14:val="solid"/>
          <w14:miter w14:val="0"/>
        </w14:textOutline>
      </w:rPr>
      <w:t>3</w:t>
    </w:r>
    <w:r>
      <w:rPr>
        <w:rFonts w:ascii="Times New Roman" w:hAnsi="Times New Roman" w:eastAsia="楷体" w:cs="Times New Roman"/>
        <w:color w:val="auto"/>
        <w:spacing w:val="-7"/>
        <w:sz w:val="32"/>
        <w:szCs w:val="32"/>
        <w14:textOutline w14:w="3810" w14:cap="flat" w14:cmpd="sng" w14:algn="ctr">
          <w14:solidFill>
            <w14:srgbClr w14:val="000000"/>
          </w14:solidFill>
          <w14:prstDash w14:val="solid"/>
          <w14:miter w14:val="0"/>
        </w14:textOutline>
      </w:rPr>
      <w:t xml:space="preserve"> </w:t>
    </w:r>
    <w:r>
      <w:rPr>
        <w:rFonts w:hint="eastAsia" w:ascii="Times New Roman" w:hAnsi="Times New Roman" w:eastAsia="楷体" w:cs="Times New Roman"/>
        <w:color w:val="auto"/>
        <w:spacing w:val="-7"/>
        <w:sz w:val="32"/>
        <w:szCs w:val="32"/>
        <w:lang w:val="en-US" w:eastAsia="zh-CN"/>
        <w14:textOutline w14:w="3810" w14:cap="flat" w14:cmpd="sng" w14:algn="ctr">
          <w14:solidFill>
            <w14:srgbClr w14:val="000000"/>
          </w14:solidFill>
          <w14:prstDash w14:val="solid"/>
          <w14:miter w14:val="0"/>
        </w14:textOutline>
      </w:rPr>
      <w:t>0</w:t>
    </w:r>
    <w:r>
      <w:rPr>
        <w:rFonts w:hint="eastAsia" w:ascii="楷体" w:hAnsi="楷体" w:eastAsia="楷体" w:cs="楷体"/>
        <w:color w:val="auto"/>
        <w:spacing w:val="-7"/>
        <w:sz w:val="32"/>
        <w:szCs w:val="32"/>
        <w14:textOutline w14:w="3810" w14:cap="flat" w14:cmpd="sng" w14:algn="ctr">
          <w14:solidFill>
            <w14:srgbClr w14:val="000000"/>
          </w14:solidFill>
          <w14:prstDash w14:val="solid"/>
          <w14:miter w14:val="0"/>
        </w14:textOutline>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335D4"/>
    <w:multiLevelType w:val="singleLevel"/>
    <w:tmpl w:val="91C335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Q3NjQ3MzVlZTFkZDMxODdhNWM1YWE2YmY1ODgifQ=="/>
  </w:docVars>
  <w:rsids>
    <w:rsidRoot w:val="002351D7"/>
    <w:rsid w:val="00001DCB"/>
    <w:rsid w:val="000236D3"/>
    <w:rsid w:val="00051A69"/>
    <w:rsid w:val="000676E0"/>
    <w:rsid w:val="00076B43"/>
    <w:rsid w:val="000A555C"/>
    <w:rsid w:val="000D2CF4"/>
    <w:rsid w:val="000E2057"/>
    <w:rsid w:val="00130F6A"/>
    <w:rsid w:val="001317F5"/>
    <w:rsid w:val="0013435E"/>
    <w:rsid w:val="00140678"/>
    <w:rsid w:val="00155F5B"/>
    <w:rsid w:val="0018095C"/>
    <w:rsid w:val="00196AE0"/>
    <w:rsid w:val="001A4961"/>
    <w:rsid w:val="001B5967"/>
    <w:rsid w:val="001E67FD"/>
    <w:rsid w:val="001E6AC4"/>
    <w:rsid w:val="00212EDF"/>
    <w:rsid w:val="0023518D"/>
    <w:rsid w:val="002351D7"/>
    <w:rsid w:val="00260604"/>
    <w:rsid w:val="00265F0B"/>
    <w:rsid w:val="00281271"/>
    <w:rsid w:val="002B1C32"/>
    <w:rsid w:val="002B27CC"/>
    <w:rsid w:val="002B762A"/>
    <w:rsid w:val="002C78A9"/>
    <w:rsid w:val="002D2C47"/>
    <w:rsid w:val="002E0A8D"/>
    <w:rsid w:val="002E5237"/>
    <w:rsid w:val="003105E4"/>
    <w:rsid w:val="00332A60"/>
    <w:rsid w:val="003442B4"/>
    <w:rsid w:val="00346638"/>
    <w:rsid w:val="00350F69"/>
    <w:rsid w:val="0036722E"/>
    <w:rsid w:val="00387DFE"/>
    <w:rsid w:val="00391E05"/>
    <w:rsid w:val="003C15A9"/>
    <w:rsid w:val="003F7D87"/>
    <w:rsid w:val="0041332E"/>
    <w:rsid w:val="00446406"/>
    <w:rsid w:val="00457314"/>
    <w:rsid w:val="00485444"/>
    <w:rsid w:val="00485C5E"/>
    <w:rsid w:val="004A3EDB"/>
    <w:rsid w:val="004B2CAE"/>
    <w:rsid w:val="004B738F"/>
    <w:rsid w:val="004F0ADF"/>
    <w:rsid w:val="004F35CD"/>
    <w:rsid w:val="00505F99"/>
    <w:rsid w:val="00523470"/>
    <w:rsid w:val="00582681"/>
    <w:rsid w:val="00582D9C"/>
    <w:rsid w:val="00583E42"/>
    <w:rsid w:val="00591DD6"/>
    <w:rsid w:val="00594FAD"/>
    <w:rsid w:val="005A0B4E"/>
    <w:rsid w:val="005A390C"/>
    <w:rsid w:val="005B3AD7"/>
    <w:rsid w:val="005B4325"/>
    <w:rsid w:val="005B5E24"/>
    <w:rsid w:val="005C0ABC"/>
    <w:rsid w:val="005C4B04"/>
    <w:rsid w:val="005D7381"/>
    <w:rsid w:val="005F44BC"/>
    <w:rsid w:val="005F4983"/>
    <w:rsid w:val="0060001C"/>
    <w:rsid w:val="00607B4D"/>
    <w:rsid w:val="00617122"/>
    <w:rsid w:val="00620099"/>
    <w:rsid w:val="00632D30"/>
    <w:rsid w:val="00644584"/>
    <w:rsid w:val="006575B0"/>
    <w:rsid w:val="006612AD"/>
    <w:rsid w:val="00690359"/>
    <w:rsid w:val="006B72AB"/>
    <w:rsid w:val="006E3E62"/>
    <w:rsid w:val="006F6EF3"/>
    <w:rsid w:val="007253E0"/>
    <w:rsid w:val="007631FC"/>
    <w:rsid w:val="0076748C"/>
    <w:rsid w:val="00770A30"/>
    <w:rsid w:val="00771297"/>
    <w:rsid w:val="00796FAE"/>
    <w:rsid w:val="007B59EE"/>
    <w:rsid w:val="007D7E27"/>
    <w:rsid w:val="008222EC"/>
    <w:rsid w:val="00851726"/>
    <w:rsid w:val="008568A4"/>
    <w:rsid w:val="00860735"/>
    <w:rsid w:val="00867C11"/>
    <w:rsid w:val="00884169"/>
    <w:rsid w:val="00885110"/>
    <w:rsid w:val="00894371"/>
    <w:rsid w:val="008E2312"/>
    <w:rsid w:val="00917714"/>
    <w:rsid w:val="00920A0C"/>
    <w:rsid w:val="009423E1"/>
    <w:rsid w:val="00943BED"/>
    <w:rsid w:val="00944979"/>
    <w:rsid w:val="00952B2D"/>
    <w:rsid w:val="0096611C"/>
    <w:rsid w:val="009700F1"/>
    <w:rsid w:val="009B46D2"/>
    <w:rsid w:val="009C0263"/>
    <w:rsid w:val="009C1749"/>
    <w:rsid w:val="009C5A7A"/>
    <w:rsid w:val="009D13BB"/>
    <w:rsid w:val="009F694C"/>
    <w:rsid w:val="00A13EAA"/>
    <w:rsid w:val="00A21C1E"/>
    <w:rsid w:val="00A250FC"/>
    <w:rsid w:val="00A300B2"/>
    <w:rsid w:val="00A32804"/>
    <w:rsid w:val="00A57327"/>
    <w:rsid w:val="00A6544C"/>
    <w:rsid w:val="00A71343"/>
    <w:rsid w:val="00A83A3E"/>
    <w:rsid w:val="00A84DAC"/>
    <w:rsid w:val="00A94DD1"/>
    <w:rsid w:val="00AA78EE"/>
    <w:rsid w:val="00AC141E"/>
    <w:rsid w:val="00AC4955"/>
    <w:rsid w:val="00AD2FB0"/>
    <w:rsid w:val="00AF55F0"/>
    <w:rsid w:val="00B05DF5"/>
    <w:rsid w:val="00B06AF6"/>
    <w:rsid w:val="00B10224"/>
    <w:rsid w:val="00B16701"/>
    <w:rsid w:val="00B2374D"/>
    <w:rsid w:val="00B7443B"/>
    <w:rsid w:val="00B94C6B"/>
    <w:rsid w:val="00BA1808"/>
    <w:rsid w:val="00BC2375"/>
    <w:rsid w:val="00BC6D94"/>
    <w:rsid w:val="00BD2ED0"/>
    <w:rsid w:val="00C07EF8"/>
    <w:rsid w:val="00C11C0C"/>
    <w:rsid w:val="00C202CA"/>
    <w:rsid w:val="00C214A8"/>
    <w:rsid w:val="00C61DEE"/>
    <w:rsid w:val="00CE25EC"/>
    <w:rsid w:val="00CE3F46"/>
    <w:rsid w:val="00CF2618"/>
    <w:rsid w:val="00D01953"/>
    <w:rsid w:val="00D1390B"/>
    <w:rsid w:val="00D14D62"/>
    <w:rsid w:val="00D21406"/>
    <w:rsid w:val="00D4039D"/>
    <w:rsid w:val="00D44A6B"/>
    <w:rsid w:val="00D54022"/>
    <w:rsid w:val="00D64DC1"/>
    <w:rsid w:val="00D811C4"/>
    <w:rsid w:val="00DB2970"/>
    <w:rsid w:val="00DD3181"/>
    <w:rsid w:val="00DD3ECA"/>
    <w:rsid w:val="00DE47FB"/>
    <w:rsid w:val="00E03FD5"/>
    <w:rsid w:val="00E53C0C"/>
    <w:rsid w:val="00E54F72"/>
    <w:rsid w:val="00E56AA7"/>
    <w:rsid w:val="00E701AE"/>
    <w:rsid w:val="00E70D71"/>
    <w:rsid w:val="00E91670"/>
    <w:rsid w:val="00EB3010"/>
    <w:rsid w:val="00EE44CA"/>
    <w:rsid w:val="00F163B7"/>
    <w:rsid w:val="00F163DC"/>
    <w:rsid w:val="00F43839"/>
    <w:rsid w:val="00F43F85"/>
    <w:rsid w:val="00FA02EA"/>
    <w:rsid w:val="00FD4842"/>
    <w:rsid w:val="00FE7116"/>
    <w:rsid w:val="014F4893"/>
    <w:rsid w:val="04FD1519"/>
    <w:rsid w:val="063919D3"/>
    <w:rsid w:val="0EAF24C4"/>
    <w:rsid w:val="0F831B3B"/>
    <w:rsid w:val="11030382"/>
    <w:rsid w:val="11901644"/>
    <w:rsid w:val="12836D83"/>
    <w:rsid w:val="12DB2464"/>
    <w:rsid w:val="13C96D03"/>
    <w:rsid w:val="14CE4F3B"/>
    <w:rsid w:val="17B31386"/>
    <w:rsid w:val="17CA65CA"/>
    <w:rsid w:val="18493678"/>
    <w:rsid w:val="1D373DFD"/>
    <w:rsid w:val="1EAF02C7"/>
    <w:rsid w:val="1EDF11BD"/>
    <w:rsid w:val="21F41E97"/>
    <w:rsid w:val="21F453A3"/>
    <w:rsid w:val="252D7E75"/>
    <w:rsid w:val="25AF21FA"/>
    <w:rsid w:val="260C62AF"/>
    <w:rsid w:val="26B91CE3"/>
    <w:rsid w:val="26F86CAF"/>
    <w:rsid w:val="28506677"/>
    <w:rsid w:val="285F1A52"/>
    <w:rsid w:val="293033C2"/>
    <w:rsid w:val="2A3526B7"/>
    <w:rsid w:val="2AD85077"/>
    <w:rsid w:val="2CC6515A"/>
    <w:rsid w:val="2D765006"/>
    <w:rsid w:val="2F2038D9"/>
    <w:rsid w:val="2F590507"/>
    <w:rsid w:val="304E16EE"/>
    <w:rsid w:val="312513D0"/>
    <w:rsid w:val="31CC460C"/>
    <w:rsid w:val="342C47BC"/>
    <w:rsid w:val="35CF7305"/>
    <w:rsid w:val="3AA03AC2"/>
    <w:rsid w:val="3AA36ADA"/>
    <w:rsid w:val="3C8905E1"/>
    <w:rsid w:val="3DE03A8C"/>
    <w:rsid w:val="3F990CB6"/>
    <w:rsid w:val="409A4B2D"/>
    <w:rsid w:val="40F60F8C"/>
    <w:rsid w:val="41917D06"/>
    <w:rsid w:val="41A575DC"/>
    <w:rsid w:val="42101488"/>
    <w:rsid w:val="44A65B45"/>
    <w:rsid w:val="44CB69AA"/>
    <w:rsid w:val="44DA22C6"/>
    <w:rsid w:val="457F1EF2"/>
    <w:rsid w:val="475E52BA"/>
    <w:rsid w:val="478D4D9A"/>
    <w:rsid w:val="488E0DCA"/>
    <w:rsid w:val="4B094738"/>
    <w:rsid w:val="4C7B0A31"/>
    <w:rsid w:val="4DD01699"/>
    <w:rsid w:val="4EE35940"/>
    <w:rsid w:val="4FFC486B"/>
    <w:rsid w:val="51917235"/>
    <w:rsid w:val="53656F8B"/>
    <w:rsid w:val="53C05C4A"/>
    <w:rsid w:val="568F468B"/>
    <w:rsid w:val="57A16204"/>
    <w:rsid w:val="591F781C"/>
    <w:rsid w:val="59E4239E"/>
    <w:rsid w:val="5AA07A6F"/>
    <w:rsid w:val="5B5E3FBF"/>
    <w:rsid w:val="5EC34E45"/>
    <w:rsid w:val="5F823E67"/>
    <w:rsid w:val="620F682D"/>
    <w:rsid w:val="651025ED"/>
    <w:rsid w:val="65DD0AB5"/>
    <w:rsid w:val="65FD72F9"/>
    <w:rsid w:val="660E6C4E"/>
    <w:rsid w:val="674737DC"/>
    <w:rsid w:val="67E73874"/>
    <w:rsid w:val="6C067416"/>
    <w:rsid w:val="6C4B4B3C"/>
    <w:rsid w:val="6CF50B68"/>
    <w:rsid w:val="70732082"/>
    <w:rsid w:val="710621B4"/>
    <w:rsid w:val="715E4F2E"/>
    <w:rsid w:val="77E1555C"/>
    <w:rsid w:val="795222DE"/>
    <w:rsid w:val="7A7237F8"/>
    <w:rsid w:val="7AD87AFF"/>
    <w:rsid w:val="7E4A4E01"/>
    <w:rsid w:val="7ECD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91" w:line="185" w:lineRule="auto"/>
      <w:ind w:firstLine="590"/>
      <w:outlineLvl w:val="0"/>
    </w:pPr>
    <w:rPr>
      <w:rFonts w:eastAsia="宋体"/>
      <w:b/>
      <w:kern w:val="44"/>
      <w:sz w:val="28"/>
    </w:rPr>
  </w:style>
  <w:style w:type="paragraph" w:styleId="4">
    <w:name w:val="heading 2"/>
    <w:basedOn w:val="1"/>
    <w:next w:val="1"/>
    <w:unhideWhenUsed/>
    <w:qFormat/>
    <w:uiPriority w:val="0"/>
    <w:pPr>
      <w:keepNext/>
      <w:keepLines/>
      <w:spacing w:before="91" w:line="185" w:lineRule="auto"/>
      <w:ind w:firstLine="595"/>
      <w:outlineLvl w:val="1"/>
    </w:pPr>
    <w:rPr>
      <w:rFonts w:eastAsia="宋体"/>
      <w:b/>
      <w:sz w:val="28"/>
    </w:rPr>
  </w:style>
  <w:style w:type="paragraph" w:styleId="5">
    <w:name w:val="heading 3"/>
    <w:basedOn w:val="1"/>
    <w:next w:val="1"/>
    <w:unhideWhenUsed/>
    <w:qFormat/>
    <w:uiPriority w:val="9"/>
    <w:pPr>
      <w:keepNext/>
      <w:keepLines/>
      <w:spacing w:before="172" w:line="204" w:lineRule="auto"/>
      <w:ind w:firstLine="607"/>
      <w:outlineLvl w:val="2"/>
    </w:pPr>
    <w:rPr>
      <w:rFonts w:ascii="Times New Roman" w:hAnsi="Times New Roman" w:eastAsia="宋体" w:cs="Times New Roman"/>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44"/>
    </w:rPr>
  </w:style>
  <w:style w:type="paragraph" w:styleId="6">
    <w:name w:val="toc 3"/>
    <w:basedOn w:val="1"/>
    <w:next w:val="1"/>
    <w:qFormat/>
    <w:uiPriority w:val="39"/>
    <w:pPr>
      <w:ind w:left="840" w:leftChars="4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pPr>
    <w:rPr>
      <w:rFonts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MSG_EN_FONT_STYLE_NAME_TEMPLATE_ROLE_NUMBER MSG_EN_FONT_STYLE_NAME_BY_ROLE_TEXT 2 + MSG_EN_FONT_STYLE_MODIFER_SIZE 11"/>
    <w:basedOn w:val="19"/>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9">
    <w:name w:val="MSG_EN_FONT_STYLE_NAME_TEMPLATE_ROLE_NUMBER MSG_EN_FONT_STYLE_NAME_BY_ROLE_TEXT 2_"/>
    <w:basedOn w:val="15"/>
    <w:link w:val="20"/>
    <w:qFormat/>
    <w:uiPriority w:val="0"/>
    <w:rPr>
      <w:rFonts w:ascii="宋体" w:hAnsi="宋体" w:eastAsia="宋体" w:cs="宋体"/>
      <w:sz w:val="28"/>
      <w:szCs w:val="28"/>
      <w:u w:val="none"/>
    </w:rPr>
  </w:style>
  <w:style w:type="paragraph" w:customStyle="1" w:styleId="20">
    <w:name w:val="MSG_EN_FONT_STYLE_NAME_TEMPLATE_ROLE_NUMBER MSG_EN_FONT_STYLE_NAME_BY_ROLE_TEXT 2"/>
    <w:link w:val="19"/>
    <w:qFormat/>
    <w:uiPriority w:val="0"/>
    <w:pPr>
      <w:widowControl w:val="0"/>
      <w:shd w:val="clear" w:color="auto" w:fill="FFFFFF"/>
      <w:spacing w:line="520" w:lineRule="exact"/>
      <w:jc w:val="distribute"/>
    </w:pPr>
    <w:rPr>
      <w:rFonts w:ascii="宋体" w:hAnsi="宋体" w:eastAsia="宋体" w:cs="宋体"/>
      <w:sz w:val="28"/>
      <w:szCs w:val="28"/>
      <w:lang w:val="en-US" w:eastAsia="zh-CN" w:bidi="ar-SA"/>
    </w:rPr>
  </w:style>
  <w:style w:type="character" w:customStyle="1" w:styleId="21">
    <w:name w:val="MSG_EN_FONT_STYLE_NAME_TEMPLATE_ROLE_NUMBER MSG_EN_FONT_STYLE_NAME_BY_ROLE_TEXT 2 + MSG_EN_FONT_STYLE_MODIFER_SIZE 13"/>
    <w:basedOn w:val="19"/>
    <w:qFormat/>
    <w:uiPriority w:val="0"/>
    <w:rPr>
      <w:rFonts w:ascii="宋体" w:hAnsi="宋体" w:eastAsia="宋体" w:cs="宋体"/>
      <w:b/>
      <w:bCs/>
      <w:color w:val="000000"/>
      <w:spacing w:val="0"/>
      <w:w w:val="100"/>
      <w:position w:val="0"/>
      <w:sz w:val="26"/>
      <w:szCs w:val="26"/>
      <w:u w:val="none"/>
      <w:lang w:val="zh-CN" w:eastAsia="zh-CN" w:bidi="zh-CN"/>
    </w:rPr>
  </w:style>
  <w:style w:type="paragraph" w:customStyle="1" w:styleId="22">
    <w:name w:val="MSG_EN_FONT_STYLE_NAME_TEMPLATE_ROLE_LEVEL MSG_EN_FONT_STYLE_NAME_BY_ROLE_HEADING 1"/>
    <w:basedOn w:val="1"/>
    <w:qFormat/>
    <w:uiPriority w:val="0"/>
    <w:pPr>
      <w:widowControl w:val="0"/>
      <w:shd w:val="clear" w:color="auto" w:fill="FFFFFF"/>
      <w:spacing w:after="580" w:line="260" w:lineRule="exact"/>
      <w:outlineLvl w:val="0"/>
    </w:pPr>
    <w:rPr>
      <w:rFonts w:ascii="宋体" w:hAnsi="宋体" w:eastAsia="宋体" w:cs="宋体"/>
      <w:b/>
      <w:bCs/>
      <w:sz w:val="26"/>
      <w:szCs w:val="26"/>
    </w:rPr>
  </w:style>
  <w:style w:type="character" w:customStyle="1" w:styleId="23">
    <w:name w:val="批注框文本 字符"/>
    <w:basedOn w:val="15"/>
    <w:link w:val="7"/>
    <w:qFormat/>
    <w:uiPriority w:val="0"/>
    <w:rPr>
      <w:rFonts w:ascii="Arial" w:hAnsi="Arial" w:eastAsia="Arial" w:cs="Arial"/>
      <w:snapToGrid w:val="0"/>
      <w:color w:val="000000"/>
      <w:sz w:val="18"/>
      <w:szCs w:val="18"/>
    </w:rPr>
  </w:style>
  <w:style w:type="paragraph" w:styleId="24">
    <w:name w:val="List Paragraph"/>
    <w:basedOn w:val="1"/>
    <w:unhideWhenUsed/>
    <w:qFormat/>
    <w:uiPriority w:val="99"/>
    <w:pPr>
      <w:ind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paragraph"/>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21192</Words>
  <Characters>21979</Characters>
  <Lines>185</Lines>
  <Paragraphs>52</Paragraphs>
  <TotalTime>1</TotalTime>
  <ScaleCrop>false</ScaleCrop>
  <LinksUpToDate>false</LinksUpToDate>
  <CharactersWithSpaces>22345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2022-12-21T02:10:00Z</dcterms:created>
  <dc:creator>Administrator</dc:creator>
  <cp:lastModifiedBy>1</cp:lastModifiedBy>
  <dcterms:modified xsi:type="dcterms:W3CDTF">2023-09-24T06:57:44Z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477F72DDC9FB47E798880B73F2B52806</vt:lpwstr>
  </property>
</Properties>
</file>