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方正小标宋_GBK" w:hAnsi="仿宋" w:eastAsia="方正小标宋_GBK"/>
          <w:sz w:val="36"/>
          <w:szCs w:val="36"/>
          <w:lang w:val="en-US" w:eastAsia="zh-CN"/>
        </w:rPr>
      </w:pPr>
    </w:p>
    <w:p>
      <w:pPr>
        <w:jc w:val="center"/>
        <w:rPr>
          <w:rFonts w:ascii="黑体" w:hAnsi="黑体" w:eastAsia="黑体" w:cs="黑体"/>
          <w:b/>
          <w:bCs/>
          <w:sz w:val="52"/>
          <w:szCs w:val="72"/>
        </w:rPr>
      </w:pPr>
      <w:r>
        <w:rPr>
          <w:rFonts w:hint="eastAsia" w:ascii="黑体" w:hAnsi="黑体" w:eastAsia="黑体" w:cs="黑体"/>
          <w:b/>
          <w:bCs/>
          <w:sz w:val="52"/>
          <w:szCs w:val="72"/>
        </w:rPr>
        <w:t>学位授权点建设年度报告</w:t>
      </w:r>
    </w:p>
    <w:p>
      <w:pPr>
        <w:jc w:val="center"/>
        <w:rPr>
          <w:rFonts w:ascii="楷体" w:hAnsi="楷体" w:eastAsia="楷体" w:cs="楷体"/>
          <w:sz w:val="28"/>
          <w:szCs w:val="36"/>
        </w:rPr>
      </w:pPr>
      <w:r>
        <w:rPr>
          <w:rFonts w:hint="eastAsia" w:ascii="楷体" w:hAnsi="楷体" w:eastAsia="楷体" w:cs="楷体"/>
          <w:sz w:val="28"/>
          <w:szCs w:val="36"/>
        </w:rPr>
        <w:t>（2022年）</w:t>
      </w:r>
    </w:p>
    <w:p/>
    <w:p/>
    <w:p/>
    <w:p/>
    <w:p/>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86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261" w:type="dxa"/>
            <w:vMerge w:val="restart"/>
            <w:noWrap w:val="0"/>
            <w:vAlign w:val="center"/>
          </w:tcPr>
          <w:p>
            <w:pPr>
              <w:jc w:val="center"/>
              <w:rPr>
                <w:rFonts w:ascii="楷体" w:hAnsi="楷体" w:eastAsia="楷体" w:cs="楷体"/>
                <w:sz w:val="28"/>
                <w:szCs w:val="36"/>
              </w:rPr>
            </w:pPr>
            <w:r>
              <w:rPr>
                <w:rFonts w:hint="eastAsia" w:ascii="楷体" w:hAnsi="楷体" w:eastAsia="楷体" w:cs="楷体"/>
                <w:sz w:val="28"/>
                <w:szCs w:val="36"/>
              </w:rPr>
              <w:t>学位授予单位</w:t>
            </w:r>
          </w:p>
        </w:tc>
        <w:tc>
          <w:tcPr>
            <w:tcW w:w="2867" w:type="dxa"/>
            <w:noWrap w:val="0"/>
            <w:vAlign w:val="top"/>
          </w:tcPr>
          <w:p>
            <w:pPr>
              <w:rPr>
                <w:rFonts w:ascii="楷体" w:hAnsi="楷体" w:eastAsia="楷体" w:cs="楷体"/>
                <w:sz w:val="28"/>
                <w:szCs w:val="36"/>
              </w:rPr>
            </w:pPr>
            <w:r>
              <w:rPr>
                <w:rFonts w:hint="eastAsia" w:ascii="楷体" w:hAnsi="楷体" w:eastAsia="楷体" w:cs="楷体"/>
                <w:sz w:val="28"/>
                <w:szCs w:val="36"/>
              </w:rPr>
              <w:t xml:space="preserve">名称 </w:t>
            </w:r>
            <w:r>
              <w:rPr>
                <w:rFonts w:ascii="楷体" w:hAnsi="楷体" w:eastAsia="楷体" w:cs="楷体"/>
                <w:sz w:val="28"/>
                <w:szCs w:val="36"/>
              </w:rPr>
              <w:t xml:space="preserve"> </w:t>
            </w:r>
            <w:r>
              <w:rPr>
                <w:rFonts w:hint="eastAsia" w:ascii="楷体" w:hAnsi="楷体" w:eastAsia="楷体" w:cs="楷体"/>
                <w:sz w:val="28"/>
                <w:szCs w:val="36"/>
              </w:rPr>
              <w:t>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noWrap w:val="0"/>
            <w:vAlign w:val="top"/>
          </w:tcPr>
          <w:p>
            <w:pPr>
              <w:rPr>
                <w:rFonts w:ascii="楷体" w:hAnsi="楷体" w:eastAsia="楷体" w:cs="楷体"/>
                <w:sz w:val="28"/>
                <w:szCs w:val="36"/>
              </w:rPr>
            </w:pPr>
          </w:p>
        </w:tc>
        <w:tc>
          <w:tcPr>
            <w:tcW w:w="2867" w:type="dxa"/>
            <w:noWrap w:val="0"/>
            <w:vAlign w:val="top"/>
          </w:tcPr>
          <w:p>
            <w:pPr>
              <w:rPr>
                <w:rFonts w:ascii="楷体" w:hAnsi="楷体" w:eastAsia="楷体" w:cs="楷体"/>
                <w:sz w:val="28"/>
                <w:szCs w:val="36"/>
              </w:rPr>
            </w:pPr>
            <w:r>
              <w:rPr>
                <w:rFonts w:hint="eastAsia" w:ascii="楷体" w:hAnsi="楷体" w:eastAsia="楷体" w:cs="楷体"/>
                <w:sz w:val="28"/>
                <w:szCs w:val="36"/>
              </w:rPr>
              <w:t xml:space="preserve">代码 </w:t>
            </w:r>
            <w:r>
              <w:rPr>
                <w:rFonts w:ascii="楷体" w:hAnsi="楷体" w:eastAsia="楷体" w:cs="楷体"/>
                <w:sz w:val="28"/>
                <w:szCs w:val="36"/>
              </w:rPr>
              <w:t xml:space="preserve"> </w:t>
            </w:r>
            <w:r>
              <w:rPr>
                <w:rFonts w:hint="eastAsia" w:ascii="楷体" w:hAnsi="楷体" w:eastAsia="楷体" w:cs="楷体"/>
                <w:sz w:val="28"/>
                <w:szCs w:val="36"/>
              </w:rPr>
              <w:t>10389</w:t>
            </w:r>
          </w:p>
        </w:tc>
      </w:tr>
    </w:tbl>
    <w:p>
      <w:pPr>
        <w:rPr>
          <w:rFonts w:ascii="楷体" w:hAnsi="楷体" w:eastAsia="楷体" w:cs="楷体"/>
          <w:sz w:val="28"/>
          <w:szCs w:val="36"/>
        </w:rPr>
      </w:pPr>
    </w:p>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301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noWrap w:val="0"/>
            <w:vAlign w:val="center"/>
          </w:tcPr>
          <w:p>
            <w:pPr>
              <w:jc w:val="center"/>
              <w:rPr>
                <w:rFonts w:ascii="楷体" w:hAnsi="楷体" w:eastAsia="楷体" w:cs="楷体"/>
                <w:sz w:val="28"/>
                <w:szCs w:val="36"/>
              </w:rPr>
            </w:pPr>
            <w:r>
              <w:rPr>
                <w:rFonts w:hint="eastAsia" w:ascii="楷体" w:hAnsi="楷体" w:eastAsia="楷体" w:cs="楷体"/>
                <w:sz w:val="28"/>
                <w:szCs w:val="36"/>
              </w:rPr>
              <w:t>授权学科</w:t>
            </w:r>
          </w:p>
          <w:p>
            <w:pPr>
              <w:jc w:val="center"/>
              <w:rPr>
                <w:rFonts w:ascii="楷体" w:hAnsi="楷体" w:eastAsia="楷体" w:cs="楷体"/>
                <w:sz w:val="28"/>
                <w:szCs w:val="36"/>
              </w:rPr>
            </w:pPr>
            <w:r>
              <w:rPr>
                <w:rFonts w:hint="eastAsia" w:ascii="楷体" w:hAnsi="楷体" w:eastAsia="楷体" w:cs="楷体"/>
                <w:sz w:val="28"/>
                <w:szCs w:val="36"/>
              </w:rPr>
              <w:t>（类别）</w:t>
            </w:r>
          </w:p>
        </w:tc>
        <w:tc>
          <w:tcPr>
            <w:tcW w:w="3010" w:type="dxa"/>
            <w:noWrap w:val="0"/>
            <w:vAlign w:val="top"/>
          </w:tcPr>
          <w:p>
            <w:pPr>
              <w:rPr>
                <w:rFonts w:hint="eastAsia" w:ascii="楷体" w:hAnsi="楷体" w:eastAsia="楷体" w:cs="楷体"/>
                <w:sz w:val="28"/>
                <w:szCs w:val="36"/>
                <w:lang w:eastAsia="zh-CN"/>
              </w:rPr>
            </w:pPr>
            <w:r>
              <w:rPr>
                <w:rFonts w:hint="eastAsia" w:ascii="楷体" w:hAnsi="楷体" w:eastAsia="楷体" w:cs="楷体"/>
                <w:sz w:val="28"/>
                <w:szCs w:val="36"/>
              </w:rPr>
              <w:t xml:space="preserve">名称 </w:t>
            </w:r>
            <w:r>
              <w:rPr>
                <w:rFonts w:hint="eastAsia" w:ascii="楷体" w:hAnsi="楷体" w:eastAsia="楷体" w:cs="楷体"/>
                <w:sz w:val="28"/>
                <w:szCs w:val="36"/>
                <w:lang w:eastAsia="zh-CN"/>
              </w:rPr>
              <w:t>马克思主义理论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noWrap w:val="0"/>
            <w:vAlign w:val="top"/>
          </w:tcPr>
          <w:p>
            <w:pPr>
              <w:rPr>
                <w:rFonts w:ascii="楷体" w:hAnsi="楷体" w:eastAsia="楷体" w:cs="楷体"/>
                <w:sz w:val="28"/>
                <w:szCs w:val="36"/>
              </w:rPr>
            </w:pPr>
          </w:p>
        </w:tc>
        <w:tc>
          <w:tcPr>
            <w:tcW w:w="3010" w:type="dxa"/>
            <w:noWrap w:val="0"/>
            <w:vAlign w:val="top"/>
          </w:tcPr>
          <w:p>
            <w:pPr>
              <w:rPr>
                <w:rFonts w:hint="default" w:ascii="楷体" w:hAnsi="楷体" w:eastAsia="楷体" w:cs="楷体"/>
                <w:sz w:val="28"/>
                <w:szCs w:val="36"/>
                <w:lang w:val="en-US" w:eastAsia="zh-CN"/>
              </w:rPr>
            </w:pPr>
            <w:r>
              <w:rPr>
                <w:rFonts w:hint="eastAsia" w:ascii="楷体" w:hAnsi="楷体" w:eastAsia="楷体" w:cs="楷体"/>
                <w:sz w:val="28"/>
                <w:szCs w:val="36"/>
              </w:rPr>
              <w:t xml:space="preserve">代码 </w:t>
            </w:r>
            <w:r>
              <w:rPr>
                <w:rFonts w:hint="eastAsia" w:ascii="楷体" w:hAnsi="楷体" w:eastAsia="楷体" w:cs="楷体"/>
                <w:sz w:val="28"/>
                <w:szCs w:val="36"/>
                <w:lang w:val="en-US" w:eastAsia="zh-CN"/>
              </w:rPr>
              <w:t>0305</w:t>
            </w:r>
          </w:p>
        </w:tc>
      </w:tr>
    </w:tbl>
    <w:p>
      <w:pPr>
        <w:rPr>
          <w:rFonts w:ascii="楷体" w:hAnsi="楷体" w:eastAsia="楷体" w:cs="楷体"/>
          <w:sz w:val="28"/>
          <w:szCs w:val="36"/>
        </w:rPr>
      </w:pPr>
    </w:p>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noWrap w:val="0"/>
            <w:vAlign w:val="center"/>
          </w:tcPr>
          <w:p>
            <w:pPr>
              <w:jc w:val="center"/>
              <w:rPr>
                <w:rFonts w:ascii="楷体" w:hAnsi="楷体" w:eastAsia="楷体" w:cs="楷体"/>
                <w:sz w:val="28"/>
                <w:szCs w:val="36"/>
              </w:rPr>
            </w:pPr>
            <w:r>
              <w:rPr>
                <w:rFonts w:hint="eastAsia" w:ascii="楷体" w:hAnsi="楷体" w:eastAsia="楷体" w:cs="楷体"/>
                <w:sz w:val="28"/>
                <w:szCs w:val="36"/>
              </w:rPr>
              <w:t>授权级别</w:t>
            </w:r>
          </w:p>
        </w:tc>
        <w:tc>
          <w:tcPr>
            <w:tcW w:w="2347" w:type="dxa"/>
            <w:noWrap w:val="0"/>
            <w:vAlign w:val="top"/>
          </w:tcPr>
          <w:p>
            <w:pPr>
              <w:rPr>
                <w:rFonts w:ascii="楷体" w:hAnsi="楷体" w:eastAsia="楷体" w:cs="楷体"/>
                <w:sz w:val="28"/>
                <w:szCs w:val="36"/>
              </w:rPr>
            </w:pPr>
            <w:r>
              <w:rPr>
                <w:rFonts w:hint="eastAsia" w:ascii="楷体" w:hAnsi="楷体" w:eastAsia="楷体" w:cs="楷体"/>
                <w:sz w:val="28"/>
                <w:szCs w:val="36"/>
              </w:rPr>
              <w:t>□博士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noWrap w:val="0"/>
            <w:vAlign w:val="top"/>
          </w:tcPr>
          <w:p>
            <w:pPr>
              <w:rPr>
                <w:rFonts w:ascii="楷体" w:hAnsi="楷体" w:eastAsia="楷体" w:cs="楷体"/>
                <w:sz w:val="28"/>
                <w:szCs w:val="36"/>
              </w:rPr>
            </w:pPr>
          </w:p>
        </w:tc>
        <w:tc>
          <w:tcPr>
            <w:tcW w:w="2347" w:type="dxa"/>
            <w:noWrap w:val="0"/>
            <w:vAlign w:val="top"/>
          </w:tcPr>
          <w:p>
            <w:pPr>
              <w:rPr>
                <w:rFonts w:ascii="楷体" w:hAnsi="楷体" w:eastAsia="楷体" w:cs="楷体"/>
                <w:sz w:val="28"/>
                <w:szCs w:val="36"/>
              </w:rPr>
            </w:pPr>
            <w:r>
              <w:rPr>
                <w:rFonts w:hint="eastAsia" w:ascii="楷体" w:hAnsi="楷体" w:eastAsia="楷体" w:cs="楷体"/>
                <w:sz w:val="28"/>
                <w:szCs w:val="36"/>
                <w:lang w:eastAsia="zh-CN"/>
              </w:rPr>
              <w:t>☑</w:t>
            </w:r>
            <w:r>
              <w:rPr>
                <w:rFonts w:hint="eastAsia" w:ascii="楷体" w:hAnsi="楷体" w:eastAsia="楷体" w:cs="楷体"/>
                <w:sz w:val="28"/>
                <w:szCs w:val="36"/>
              </w:rPr>
              <w:t xml:space="preserve"> 硕士</w:t>
            </w:r>
          </w:p>
        </w:tc>
      </w:tr>
    </w:tbl>
    <w:p>
      <w:pPr>
        <w:rPr>
          <w:rFonts w:ascii="楷体" w:hAnsi="楷体" w:eastAsia="楷体" w:cs="楷体"/>
          <w:sz w:val="28"/>
          <w:szCs w:val="36"/>
        </w:rPr>
      </w:pPr>
    </w:p>
    <w:p>
      <w:pPr>
        <w:jc w:val="center"/>
        <w:rPr>
          <w:rFonts w:ascii="楷体" w:hAnsi="楷体" w:eastAsia="楷体" w:cs="楷体"/>
          <w:sz w:val="36"/>
          <w:szCs w:val="44"/>
        </w:rPr>
      </w:pPr>
    </w:p>
    <w:p>
      <w:pPr>
        <w:pStyle w:val="2"/>
        <w:rPr>
          <w:rFonts w:ascii="楷体" w:hAnsi="楷体" w:eastAsia="楷体" w:cs="楷体"/>
          <w:sz w:val="36"/>
          <w:szCs w:val="44"/>
        </w:rPr>
      </w:pPr>
    </w:p>
    <w:p/>
    <w:p>
      <w:pPr>
        <w:jc w:val="center"/>
        <w:rPr>
          <w:rFonts w:hint="eastAsia" w:ascii="楷体" w:hAnsi="楷体" w:eastAsia="楷体" w:cs="楷体"/>
          <w:sz w:val="28"/>
          <w:szCs w:val="36"/>
        </w:rPr>
      </w:pPr>
      <w:r>
        <w:rPr>
          <w:rFonts w:hint="eastAsia" w:ascii="楷体" w:hAnsi="楷体" w:eastAsia="楷体" w:cs="楷体"/>
          <w:sz w:val="28"/>
          <w:szCs w:val="36"/>
        </w:rPr>
        <w:t>2022年12月</w:t>
      </w:r>
      <w:r>
        <w:rPr>
          <w:rFonts w:hint="eastAsia" w:ascii="楷体" w:hAnsi="楷体" w:eastAsia="楷体" w:cs="楷体"/>
          <w:sz w:val="28"/>
          <w:szCs w:val="36"/>
          <w:lang w:val="en-US" w:eastAsia="zh-CN"/>
        </w:rPr>
        <w:t>3</w:t>
      </w:r>
      <w:r>
        <w:rPr>
          <w:rFonts w:hint="eastAsia" w:ascii="楷体" w:hAnsi="楷体" w:eastAsia="楷体" w:cs="楷体"/>
          <w:sz w:val="28"/>
          <w:szCs w:val="36"/>
        </w:rPr>
        <w:t>0日</w:t>
      </w:r>
    </w:p>
    <w:p>
      <w:pPr>
        <w:spacing w:line="600" w:lineRule="exact"/>
        <w:jc w:val="center"/>
        <w:rPr>
          <w:rFonts w:hint="eastAsia" w:ascii="宋体" w:hAnsi="宋体"/>
          <w:b/>
          <w:bCs/>
          <w:sz w:val="44"/>
          <w:szCs w:val="44"/>
        </w:rPr>
      </w:pPr>
      <w:bookmarkStart w:id="0" w:name="_Toc31069"/>
    </w:p>
    <w:p>
      <w:pPr>
        <w:spacing w:line="600" w:lineRule="exact"/>
        <w:jc w:val="center"/>
        <w:rPr>
          <w:rFonts w:hint="eastAsia" w:ascii="宋体" w:hAnsi="宋体"/>
          <w:b/>
          <w:bCs/>
          <w:sz w:val="44"/>
          <w:szCs w:val="44"/>
        </w:rPr>
      </w:pPr>
      <w:r>
        <w:rPr>
          <w:rFonts w:hint="eastAsia" w:ascii="宋体" w:hAnsi="宋体"/>
          <w:b/>
          <w:bCs/>
          <w:sz w:val="44"/>
          <w:szCs w:val="44"/>
        </w:rPr>
        <w:t>2022年</w:t>
      </w:r>
      <w:r>
        <w:rPr>
          <w:rFonts w:hint="eastAsia" w:ascii="宋体" w:hAnsi="宋体"/>
          <w:b/>
          <w:bCs/>
          <w:sz w:val="44"/>
          <w:szCs w:val="44"/>
          <w:lang w:eastAsia="zh-CN"/>
        </w:rPr>
        <w:t>马克思主义理论</w:t>
      </w:r>
      <w:r>
        <w:rPr>
          <w:rFonts w:hint="eastAsia" w:ascii="宋体" w:hAnsi="宋体"/>
          <w:b/>
          <w:bCs/>
          <w:sz w:val="44"/>
          <w:szCs w:val="44"/>
        </w:rPr>
        <w:t>学位授权点</w:t>
      </w:r>
    </w:p>
    <w:p>
      <w:pPr>
        <w:spacing w:line="600" w:lineRule="exact"/>
        <w:jc w:val="center"/>
        <w:rPr>
          <w:rFonts w:hint="default"/>
          <w:lang w:val="en-US" w:eastAsia="zh-CN"/>
        </w:rPr>
      </w:pPr>
      <w:r>
        <w:rPr>
          <w:rFonts w:hint="eastAsia" w:ascii="宋体" w:hAnsi="宋体"/>
          <w:b/>
          <w:bCs/>
          <w:sz w:val="44"/>
          <w:szCs w:val="44"/>
        </w:rPr>
        <w:t>建设年度报告</w:t>
      </w:r>
      <w:bookmarkEnd w:id="0"/>
    </w:p>
    <w:p>
      <w:pPr>
        <w:pageBreakBefore w:val="0"/>
        <w:kinsoku/>
        <w:wordWrap/>
        <w:overflowPunct/>
        <w:topLinePunct w:val="0"/>
        <w:autoSpaceDE/>
        <w:autoSpaceDN/>
        <w:bidi w:val="0"/>
        <w:spacing w:line="560" w:lineRule="exact"/>
        <w:ind w:firstLine="643" w:firstLineChars="200"/>
        <w:jc w:val="both"/>
        <w:rPr>
          <w:rFonts w:hint="eastAsia" w:ascii="黑体" w:hAnsi="黑体" w:eastAsia="黑体"/>
          <w:b/>
          <w:bCs/>
          <w:sz w:val="32"/>
          <w:szCs w:val="32"/>
        </w:rPr>
      </w:pPr>
      <w:r>
        <w:rPr>
          <w:rFonts w:hint="eastAsia" w:ascii="黑体" w:hAnsi="黑体" w:eastAsia="黑体"/>
          <w:b/>
          <w:bCs/>
          <w:sz w:val="32"/>
          <w:szCs w:val="32"/>
        </w:rPr>
        <w:t>一、学位授权点基本情况</w:t>
      </w:r>
    </w:p>
    <w:p>
      <w:pPr>
        <w:pageBreakBefore w:val="0"/>
        <w:numPr>
          <w:ilvl w:val="0"/>
          <w:numId w:val="1"/>
        </w:numPr>
        <w:kinsoku/>
        <w:wordWrap/>
        <w:overflowPunct/>
        <w:topLinePunct w:val="0"/>
        <w:autoSpaceDE/>
        <w:autoSpaceDN/>
        <w:bidi w:val="0"/>
        <w:spacing w:line="560" w:lineRule="exact"/>
        <w:ind w:firstLine="643" w:firstLineChars="200"/>
        <w:jc w:val="both"/>
        <w:rPr>
          <w:rFonts w:hint="eastAsia" w:ascii="仿宋_GB2312" w:hAnsi="仿宋" w:eastAsia="仿宋_GB2312" w:cs="仿宋"/>
          <w:b/>
          <w:bCs/>
          <w:sz w:val="32"/>
          <w:szCs w:val="32"/>
        </w:rPr>
      </w:pPr>
      <w:r>
        <w:rPr>
          <w:rFonts w:hint="eastAsia" w:ascii="仿宋_GB2312" w:hAnsi="仿宋" w:eastAsia="仿宋_GB2312" w:cs="仿宋"/>
          <w:b/>
          <w:bCs/>
          <w:sz w:val="32"/>
          <w:szCs w:val="32"/>
        </w:rPr>
        <w:t>目标与标准</w:t>
      </w:r>
    </w:p>
    <w:p>
      <w:pPr>
        <w:pageBreakBefore w:val="0"/>
        <w:numPr>
          <w:ilvl w:val="0"/>
          <w:numId w:val="2"/>
        </w:numPr>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学科年度建设目标</w:t>
      </w:r>
    </w:p>
    <w:p>
      <w:pPr>
        <w:pageBreakBefore w:val="0"/>
        <w:kinsoku/>
        <w:wordWrap/>
        <w:overflowPunct/>
        <w:topLinePunct w:val="0"/>
        <w:autoSpaceDE/>
        <w:autoSpaceDN/>
        <w:bidi w:val="0"/>
        <w:spacing w:line="560" w:lineRule="exact"/>
        <w:ind w:firstLine="640" w:firstLineChars="200"/>
        <w:jc w:val="both"/>
        <w:rPr>
          <w:rFonts w:hint="eastAsia"/>
        </w:rPr>
      </w:pPr>
      <w:r>
        <w:rPr>
          <w:rFonts w:hint="eastAsia" w:ascii="仿宋_GB2312" w:hAnsi="仿宋" w:eastAsia="仿宋_GB2312" w:cs="仿宋"/>
          <w:sz w:val="32"/>
          <w:szCs w:val="32"/>
        </w:rPr>
        <w:t>加强马克思主义理论省级重点学科建设，围绕各二级学科主要发展方向，进一步整合二级学科研究力量，组建特色的研究团队，产出一批具有学校特色、地域特色、对社会发展有一定影响的科研成果，</w:t>
      </w:r>
      <w:r>
        <w:rPr>
          <w:rFonts w:hint="eastAsia" w:ascii="仿宋_GB2312" w:hAnsi="仿宋" w:eastAsia="仿宋_GB2312" w:cs="仿宋"/>
          <w:sz w:val="32"/>
          <w:szCs w:val="32"/>
          <w:lang w:val="en-US" w:eastAsia="zh-CN"/>
        </w:rPr>
        <w:t>进一步</w:t>
      </w:r>
      <w:r>
        <w:rPr>
          <w:rFonts w:hint="eastAsia" w:ascii="仿宋_GB2312" w:hAnsi="仿宋" w:eastAsia="仿宋_GB2312" w:cs="仿宋"/>
          <w:sz w:val="32"/>
          <w:szCs w:val="32"/>
        </w:rPr>
        <w:t>推进马克思主义理论一级学科</w:t>
      </w:r>
      <w:r>
        <w:rPr>
          <w:rFonts w:hint="eastAsia" w:ascii="仿宋_GB2312" w:hAnsi="仿宋" w:eastAsia="仿宋_GB2312" w:cs="仿宋"/>
          <w:sz w:val="32"/>
          <w:szCs w:val="32"/>
          <w:lang w:val="en-US" w:eastAsia="zh-CN"/>
        </w:rPr>
        <w:t>高质量</w:t>
      </w:r>
      <w:r>
        <w:rPr>
          <w:rFonts w:hint="eastAsia" w:ascii="仿宋_GB2312" w:hAnsi="仿宋" w:eastAsia="仿宋_GB2312" w:cs="仿宋"/>
          <w:sz w:val="32"/>
          <w:szCs w:val="32"/>
        </w:rPr>
        <w:t>发展。</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学位点培养研究生的目标定位是：对马克思主义理论产生的历史必然性、价值目标、基本特征等有深刻理解；对马克思主义发展的历史过程、历史经验、发展规律及当代国外马克思主义的理论、思潮及流派有清晰的了解；对中国近现代历史</w:t>
      </w:r>
      <w:r>
        <w:rPr>
          <w:rFonts w:hint="eastAsia" w:ascii="仿宋_GB2312" w:hAnsi="仿宋" w:eastAsia="仿宋_GB2312" w:cs="仿宋"/>
          <w:sz w:val="32"/>
          <w:szCs w:val="32"/>
          <w:lang w:val="en-US" w:eastAsia="zh-CN"/>
        </w:rPr>
        <w:t>基本问题</w:t>
      </w:r>
      <w:r>
        <w:rPr>
          <w:rFonts w:hint="eastAsia" w:ascii="仿宋_GB2312" w:hAnsi="仿宋" w:eastAsia="仿宋_GB2312" w:cs="仿宋"/>
          <w:sz w:val="32"/>
          <w:szCs w:val="32"/>
        </w:rPr>
        <w:t>有</w:t>
      </w:r>
      <w:r>
        <w:rPr>
          <w:rFonts w:hint="eastAsia" w:ascii="仿宋_GB2312" w:hAnsi="仿宋" w:eastAsia="仿宋_GB2312" w:cs="仿宋"/>
          <w:sz w:val="32"/>
          <w:szCs w:val="32"/>
          <w:lang w:val="en-US" w:eastAsia="zh-CN"/>
        </w:rPr>
        <w:t>全面正确</w:t>
      </w:r>
      <w:r>
        <w:rPr>
          <w:rFonts w:hint="eastAsia" w:ascii="仿宋_GB2312" w:hAnsi="仿宋" w:eastAsia="仿宋_GB2312" w:cs="仿宋"/>
          <w:sz w:val="32"/>
          <w:szCs w:val="32"/>
        </w:rPr>
        <w:t>的认识；研究马克思主义理论的前沿问题及马克思主义中国化、时代化、大众化的基本问题；掌握思想政治教育的基本理论与科学方法；</w:t>
      </w:r>
      <w:r>
        <w:rPr>
          <w:rFonts w:hint="eastAsia" w:ascii="仿宋_GB2312" w:hAnsi="仿宋" w:eastAsia="仿宋_GB2312" w:cs="仿宋"/>
          <w:sz w:val="32"/>
          <w:szCs w:val="32"/>
          <w:lang w:val="en-US" w:eastAsia="zh-CN"/>
        </w:rPr>
        <w:t>能够系统掌握党的创新理论，深入研究阐释习近平新时代中国特色社会主义思想关于党的建设的理论成果；</w:t>
      </w:r>
      <w:r>
        <w:rPr>
          <w:rFonts w:hint="eastAsia" w:ascii="仿宋_GB2312" w:hAnsi="仿宋" w:eastAsia="仿宋_GB2312" w:cs="仿宋"/>
          <w:sz w:val="32"/>
          <w:szCs w:val="32"/>
        </w:rPr>
        <w:t>具有良好的马克思主义理论素养和专业基础知识，具备能够较好运用马克思主义立场、观点和方法独立分析和解决现实问题的能力，成为能够胜任本学科相关的理论研究、教育教学、宣传和实际工作的专门人才。</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2．学位授予标准</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（1）基本知识</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了解马克思主义理论产生的历史必然性，马克思主义理论体系的基本结构，马克思主义的价值目标，马克思主义的基本特征；了解马克思主义发展的历史过程、历史经验和发展规律；了解当代国外马克思主义的理论、思潮及流派；了解中国近现代历史和人民选择马克思主义、中国共产党，社会主义道路和改革开放的历史进程和基本经验；了解马克思主义理论的前沿问题及马克思主义中国化、时代化、大众化的基本问题；了解思想政治教育的基本理论与科学方法。</w:t>
      </w:r>
      <w:r>
        <w:rPr>
          <w:rFonts w:hint="eastAsia" w:ascii="仿宋_GB2312" w:hAnsi="仿宋" w:eastAsia="仿宋_GB2312" w:cs="仿宋"/>
          <w:sz w:val="32"/>
          <w:szCs w:val="32"/>
          <w:lang w:val="en-US" w:eastAsia="zh-CN"/>
        </w:rPr>
        <w:t>了解中国共产党的历史和三个重要“历史决议”背景和意义</w:t>
      </w:r>
      <w:r>
        <w:rPr>
          <w:rFonts w:hint="eastAsia" w:ascii="仿宋_GB2312" w:hAnsi="仿宋" w:eastAsia="仿宋_GB2312" w:cs="仿宋"/>
          <w:sz w:val="32"/>
          <w:szCs w:val="32"/>
        </w:rPr>
        <w:t>。</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（2）基本素质</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其一，学术素养。认真阅读马列主义经典著作和中国化马克思主义重要文献，有比较深厚的马克思主义的理论功底和相关专业基础知识。了解学科研究的最新学术动态和最新研究成果，善于在学术讨论中得到启发和提高。具有较好的学术洞察力、学术潜力</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创新意识以及良好的人文综合素养；具有求实创新、理性质疑的精神。</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其二，学术道德。硕士生应恪守学术道德规范等国家有关法律、法规，自觉维护学术诚信，规范学术行为，充分尊重他人的劳动和研究成果，严禁抄袭、剽窃、侵吞、篡改他人学术成果，严禁伪造或篡改数据、文献、注释，坚决抵制一切学术不端问题的发生。如果存在学术不端行为，根据国家和福建农林大学学术不端行为查处的相关规定进行相应惩处。</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（3）基本能力</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其一，获取知识的能力。了解本学科学术研究的前沿动态和最新成果，积极开展调查研究，掌握真实而丰富的第一手研究资料；查阅本学科内有影响力的高质量学术期刊和网络资源等手段，获得本学科文献资料，有效获取专业知识和研究方法；养成学术思考的</w:t>
      </w:r>
      <w:r>
        <w:rPr>
          <w:rFonts w:hint="eastAsia" w:ascii="仿宋_GB2312" w:hAnsi="仿宋" w:eastAsia="仿宋_GB2312" w:cs="仿宋"/>
          <w:sz w:val="32"/>
          <w:szCs w:val="32"/>
          <w:lang w:val="en-US" w:eastAsia="zh-CN"/>
        </w:rPr>
        <w:t>习惯</w:t>
      </w:r>
      <w:r>
        <w:rPr>
          <w:rFonts w:hint="eastAsia" w:ascii="仿宋_GB2312" w:hAnsi="仿宋" w:eastAsia="仿宋_GB2312" w:cs="仿宋"/>
          <w:sz w:val="32"/>
          <w:szCs w:val="32"/>
        </w:rPr>
        <w:t>，掌握学术研究的科学方法。</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其二，学术研究能力。针对实际问题，具有较好的揭示理论与实践之间、相关理论与本学科理论之间的联系，</w:t>
      </w:r>
      <w:r>
        <w:rPr>
          <w:rFonts w:hint="eastAsia" w:ascii="仿宋_GB2312" w:hAnsi="仿宋" w:eastAsia="仿宋_GB2312" w:cs="仿宋"/>
          <w:sz w:val="32"/>
          <w:szCs w:val="32"/>
          <w:lang w:val="en-US" w:eastAsia="zh-CN"/>
        </w:rPr>
        <w:t>能够准确把握理论体系内部矛盾的运动规律，</w:t>
      </w:r>
      <w:r>
        <w:rPr>
          <w:rFonts w:hint="eastAsia" w:ascii="仿宋_GB2312" w:hAnsi="仿宋" w:eastAsia="仿宋_GB2312" w:cs="仿宋"/>
          <w:sz w:val="32"/>
          <w:szCs w:val="32"/>
        </w:rPr>
        <w:t>并善于</w:t>
      </w:r>
      <w:r>
        <w:rPr>
          <w:rFonts w:hint="eastAsia" w:ascii="仿宋_GB2312" w:hAnsi="仿宋" w:eastAsia="仿宋_GB2312" w:cs="仿宋"/>
          <w:sz w:val="32"/>
          <w:szCs w:val="32"/>
          <w:lang w:val="en-US" w:eastAsia="zh-CN"/>
        </w:rPr>
        <w:t>将</w:t>
      </w:r>
      <w:r>
        <w:rPr>
          <w:rFonts w:hint="eastAsia" w:ascii="仿宋_GB2312" w:hAnsi="仿宋" w:eastAsia="仿宋_GB2312" w:cs="仿宋"/>
          <w:sz w:val="32"/>
          <w:szCs w:val="32"/>
        </w:rPr>
        <w:t>这些联系和矛盾转化为有价值的研究问题的能力。在导师的指导下，积极参与学术研究训练，注意提高自己科学研究和论文写作的能力。</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其三，实践能力。贯彻理论联系实际的原则，注重提高分析问题和解决问题的能力，不仅要学好理论，还要运用好理论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努力做到学以致用，“知行合一”。</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其四，学术交流能力。具有良好的口头、书面和演示性交流的技能，在撰写学术报告与学术交流中能清楚地表达自己的学术观点，</w:t>
      </w:r>
      <w:r>
        <w:rPr>
          <w:rFonts w:hint="eastAsia" w:ascii="仿宋_GB2312" w:hAnsi="仿宋" w:eastAsia="仿宋_GB2312" w:cs="仿宋"/>
          <w:sz w:val="32"/>
          <w:szCs w:val="32"/>
          <w:lang w:val="en-US" w:eastAsia="zh-CN"/>
        </w:rPr>
        <w:t>充分</w:t>
      </w:r>
      <w:r>
        <w:rPr>
          <w:rFonts w:hint="eastAsia" w:ascii="仿宋_GB2312" w:hAnsi="仿宋" w:eastAsia="仿宋_GB2312" w:cs="仿宋"/>
          <w:sz w:val="32"/>
          <w:szCs w:val="32"/>
        </w:rPr>
        <w:t>展示自己的学术成果，能对自己的研究计划、研究方法、研究结果进行陈述和答辩，并对他人的研究工作进行评价和借鉴，并在学术交流中提高学术能力。</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其五，具备良好的口头表达能力、组织协调能力等。掌握一门外国语，能比较熟练地阅读本学科的外文资料。</w:t>
      </w:r>
    </w:p>
    <w:p>
      <w:pPr>
        <w:pageBreakBefore w:val="0"/>
        <w:numPr>
          <w:ilvl w:val="0"/>
          <w:numId w:val="1"/>
        </w:numPr>
        <w:kinsoku/>
        <w:wordWrap/>
        <w:overflowPunct/>
        <w:topLinePunct w:val="0"/>
        <w:autoSpaceDE/>
        <w:autoSpaceDN/>
        <w:bidi w:val="0"/>
        <w:spacing w:line="560" w:lineRule="exact"/>
        <w:ind w:left="0" w:leftChars="0" w:firstLine="643" w:firstLineChars="200"/>
        <w:jc w:val="both"/>
        <w:rPr>
          <w:rFonts w:hint="eastAsia" w:ascii="仿宋_GB2312" w:eastAsia="仿宋_GB2312"/>
          <w:b/>
          <w:bCs/>
          <w:sz w:val="32"/>
          <w:szCs w:val="32"/>
        </w:rPr>
      </w:pPr>
      <w:r>
        <w:rPr>
          <w:rFonts w:hint="eastAsia" w:ascii="仿宋_GB2312" w:eastAsia="仿宋_GB2312"/>
          <w:b/>
          <w:bCs/>
          <w:sz w:val="32"/>
          <w:szCs w:val="32"/>
        </w:rPr>
        <w:t>基本条件：</w:t>
      </w:r>
      <w:r>
        <w:rPr>
          <w:rFonts w:hint="eastAsia" w:ascii="仿宋_GB2312" w:eastAsia="仿宋_GB2312"/>
          <w:sz w:val="32"/>
          <w:szCs w:val="32"/>
        </w:rPr>
        <w:t>培养方向、师资队伍、科学研究、教学科研支撑、奖助体系、管理服务</w:t>
      </w:r>
    </w:p>
    <w:p>
      <w:pPr>
        <w:pageBreakBefore w:val="0"/>
        <w:kinsoku/>
        <w:wordWrap/>
        <w:overflowPunct/>
        <w:topLinePunct w:val="0"/>
        <w:autoSpaceDE/>
        <w:autoSpaceDN/>
        <w:bidi w:val="0"/>
        <w:adjustRightInd w:val="0"/>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1.培养方向</w:t>
      </w:r>
    </w:p>
    <w:p>
      <w:pPr>
        <w:pageBreakBefore w:val="0"/>
        <w:kinsoku/>
        <w:wordWrap/>
        <w:overflowPunct/>
        <w:topLinePunct w:val="0"/>
        <w:autoSpaceDE/>
        <w:autoSpaceDN/>
        <w:bidi w:val="0"/>
        <w:adjustRightIn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本学位点共设置</w:t>
      </w:r>
      <w:r>
        <w:rPr>
          <w:rFonts w:hint="eastAsia" w:ascii="仿宋_GB2312" w:eastAsia="仿宋_GB2312"/>
          <w:sz w:val="32"/>
          <w:szCs w:val="32"/>
          <w:lang w:val="en-US" w:eastAsia="zh-CN"/>
        </w:rPr>
        <w:t>五</w:t>
      </w:r>
      <w:r>
        <w:rPr>
          <w:rFonts w:hint="eastAsia" w:ascii="仿宋_GB2312" w:eastAsia="仿宋_GB2312"/>
          <w:sz w:val="32"/>
          <w:szCs w:val="32"/>
        </w:rPr>
        <w:t>个二级研究方向，即：</w:t>
      </w:r>
    </w:p>
    <w:p>
      <w:pPr>
        <w:pageBreakBefore w:val="0"/>
        <w:kinsoku/>
        <w:wordWrap/>
        <w:overflowPunct/>
        <w:topLinePunct w:val="0"/>
        <w:autoSpaceDE/>
        <w:autoSpaceDN/>
        <w:bidi w:val="0"/>
        <w:adjustRightIn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（1）马克思主义基本原理。聚焦马克思主义理论和重大实践问题，在网络文化软实力、意识形态话语权、马克思主义无神论等方面形成一系列有鲜明理论价值和现实价值的研究成果。</w:t>
      </w:r>
    </w:p>
    <w:p>
      <w:pPr>
        <w:pageBreakBefore w:val="0"/>
        <w:kinsoku/>
        <w:wordWrap/>
        <w:overflowPunct/>
        <w:topLinePunct w:val="0"/>
        <w:autoSpaceDE/>
        <w:autoSpaceDN/>
        <w:bidi w:val="0"/>
        <w:adjustRightIn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（2）马克思主义中国化研究。围绕农村的文化、土地、社区、生态、基层党建、精准扶贫、社会治理等“三农”问题进行前瞻探讨，在中国特色农村问题、福建乡村经济社会发展等方面研究形成了特色。</w:t>
      </w:r>
    </w:p>
    <w:p>
      <w:pPr>
        <w:pageBreakBefore w:val="0"/>
        <w:kinsoku/>
        <w:wordWrap/>
        <w:overflowPunct/>
        <w:topLinePunct w:val="0"/>
        <w:autoSpaceDE/>
        <w:autoSpaceDN/>
        <w:bidi w:val="0"/>
        <w:adjustRightIn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（3）思想政治教育。以研究党的思想政治教育史、思想政治教育原理与方法为基础，突出研究青年社会主义核心价值观及伦理道德认同，加强思想政治教育的路径、载体和方法。</w:t>
      </w:r>
    </w:p>
    <w:p>
      <w:pPr>
        <w:pageBreakBefore w:val="0"/>
        <w:kinsoku/>
        <w:wordWrap/>
        <w:overflowPunct/>
        <w:topLinePunct w:val="0"/>
        <w:autoSpaceDE/>
        <w:autoSpaceDN/>
        <w:bidi w:val="0"/>
        <w:adjustRightIn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4）中国近现代史基本问题研究。注重历史与现实的结合：一方面致力于新民主主义革命时期党的先进性建设、民生建设等研究的实践梳理与经验总结，另一方面坚持问题导向和实践导向，加强地域特色研究，围绕海峡两岸历史与文化交流、福建红色历史与文化等方面研究。</w:t>
      </w:r>
    </w:p>
    <w:p>
      <w:pPr>
        <w:pageBreakBefore w:val="0"/>
        <w:kinsoku/>
        <w:wordWrap/>
        <w:overflowPunct/>
        <w:topLinePunct w:val="0"/>
        <w:autoSpaceDE/>
        <w:autoSpaceDN/>
        <w:bidi w:val="0"/>
        <w:adjustRightInd w:val="0"/>
        <w:spacing w:line="560" w:lineRule="exact"/>
        <w:ind w:firstLine="640" w:firstLineChars="200"/>
        <w:jc w:val="both"/>
        <w:rPr>
          <w:rFonts w:hint="eastAsia" w:ascii="仿宋_GB2312" w:eastAsia="仿宋"/>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党的建设。本二级学科是</w:t>
      </w:r>
      <w:r>
        <w:rPr>
          <w:rFonts w:hint="eastAsia" w:ascii="仿宋_GB2312" w:hAnsi="Calibri" w:eastAsia="仿宋_GB2312" w:cs="Times New Roman"/>
          <w:b w:val="0"/>
          <w:bCs w:val="0"/>
          <w:color w:val="000000"/>
          <w:kern w:val="2"/>
          <w:sz w:val="32"/>
          <w:szCs w:val="32"/>
        </w:rPr>
        <w:t>专门研究马克思主义政党学说和基本原理、党的领导、党的执政、党务工作和自身建设的本质特征、历史进程、基本经验、基本规律并用以解决现实问题的学科。</w:t>
      </w:r>
      <w:r>
        <w:rPr>
          <w:rFonts w:hint="eastAsia" w:ascii="仿宋_GB2312" w:hAnsi="Calibri" w:eastAsia="仿宋_GB2312" w:cs="Times New Roman"/>
          <w:color w:val="000000"/>
          <w:kern w:val="2"/>
          <w:sz w:val="32"/>
          <w:szCs w:val="32"/>
        </w:rPr>
        <w:t>其中，</w:t>
      </w:r>
      <w:r>
        <w:rPr>
          <w:rFonts w:hint="eastAsia" w:ascii="仿宋_GB2312" w:hAnsi="Calibri" w:eastAsia="仿宋_GB2312" w:cs="Times New Roman"/>
          <w:b w:val="0"/>
          <w:bCs w:val="0"/>
          <w:color w:val="000000"/>
          <w:kern w:val="2"/>
          <w:sz w:val="32"/>
          <w:szCs w:val="32"/>
        </w:rPr>
        <w:t>马克思主义政党学说和基本原理是基础，党的领导理论是核心，党的执政理论是主体，党务工作和自身建设是应用</w:t>
      </w:r>
      <w:r>
        <w:rPr>
          <w:rFonts w:hint="eastAsia" w:ascii="仿宋_GB2312" w:hAnsi="Calibri" w:eastAsia="仿宋_GB2312" w:cs="Times New Roman"/>
          <w:b w:val="0"/>
          <w:bCs w:val="0"/>
          <w:color w:val="000000"/>
          <w:kern w:val="2"/>
          <w:sz w:val="32"/>
          <w:szCs w:val="32"/>
          <w:lang w:eastAsia="zh-CN"/>
        </w:rPr>
        <w:t>。</w:t>
      </w:r>
    </w:p>
    <w:p>
      <w:pPr>
        <w:pageBreakBefore w:val="0"/>
        <w:kinsoku/>
        <w:wordWrap/>
        <w:overflowPunct/>
        <w:topLinePunct w:val="0"/>
        <w:autoSpaceDE/>
        <w:autoSpaceDN/>
        <w:bidi w:val="0"/>
        <w:adjustRightInd w:val="0"/>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 xml:space="preserve">2.师资队伍 </w:t>
      </w:r>
    </w:p>
    <w:p>
      <w:pPr>
        <w:pageBreakBefore w:val="0"/>
        <w:kinsoku/>
        <w:wordWrap/>
        <w:overflowPunct/>
        <w:topLinePunct w:val="0"/>
        <w:autoSpaceDE/>
        <w:autoSpaceDN/>
        <w:bidi w:val="0"/>
        <w:adjustRightIn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本学位点现有师资</w:t>
      </w:r>
      <w:r>
        <w:rPr>
          <w:rFonts w:hint="eastAsia" w:ascii="仿宋_GB2312" w:eastAsia="仿宋_GB2312"/>
          <w:sz w:val="32"/>
          <w:szCs w:val="32"/>
          <w:lang w:val="en-US" w:eastAsia="zh-CN"/>
        </w:rPr>
        <w:t>81</w:t>
      </w:r>
      <w:r>
        <w:rPr>
          <w:rFonts w:hint="eastAsia" w:ascii="仿宋_GB2312" w:eastAsia="仿宋_GB2312"/>
          <w:sz w:val="32"/>
          <w:szCs w:val="32"/>
        </w:rPr>
        <w:t>人，其中硕士生导师</w:t>
      </w:r>
      <w:r>
        <w:rPr>
          <w:rFonts w:hint="eastAsia" w:ascii="仿宋_GB2312" w:eastAsia="仿宋_GB2312"/>
          <w:sz w:val="32"/>
          <w:szCs w:val="32"/>
          <w:lang w:val="en-US" w:eastAsia="zh-CN"/>
        </w:rPr>
        <w:t>24</w:t>
      </w:r>
      <w:r>
        <w:rPr>
          <w:rFonts w:hint="eastAsia" w:ascii="仿宋_GB2312" w:eastAsia="仿宋_GB2312"/>
          <w:sz w:val="32"/>
          <w:szCs w:val="32"/>
        </w:rPr>
        <w:t>名，教授</w:t>
      </w:r>
      <w:r>
        <w:rPr>
          <w:rFonts w:hint="eastAsia" w:ascii="仿宋_GB2312" w:eastAsia="仿宋_GB2312"/>
          <w:sz w:val="32"/>
          <w:szCs w:val="32"/>
          <w:lang w:val="en-US" w:eastAsia="zh-CN"/>
        </w:rPr>
        <w:t>15</w:t>
      </w:r>
      <w:r>
        <w:rPr>
          <w:rFonts w:hint="eastAsia" w:ascii="仿宋_GB2312" w:eastAsia="仿宋_GB2312"/>
          <w:sz w:val="32"/>
          <w:szCs w:val="32"/>
        </w:rPr>
        <w:t>人，有博士学位者</w:t>
      </w:r>
      <w:r>
        <w:rPr>
          <w:rFonts w:hint="eastAsia" w:ascii="仿宋_GB2312" w:eastAsia="仿宋_GB2312"/>
          <w:sz w:val="32"/>
          <w:szCs w:val="32"/>
          <w:lang w:val="en-US" w:eastAsia="zh-CN"/>
        </w:rPr>
        <w:t>17</w:t>
      </w:r>
      <w:r>
        <w:rPr>
          <w:rFonts w:hint="eastAsia" w:ascii="仿宋_GB2312" w:eastAsia="仿宋_GB2312"/>
          <w:sz w:val="32"/>
          <w:szCs w:val="32"/>
        </w:rPr>
        <w:t>名，占</w:t>
      </w:r>
      <w:r>
        <w:rPr>
          <w:rFonts w:hint="eastAsia" w:ascii="仿宋_GB2312" w:eastAsia="仿宋_GB2312"/>
          <w:sz w:val="32"/>
          <w:szCs w:val="32"/>
          <w:lang w:val="en-US" w:eastAsia="zh-CN"/>
        </w:rPr>
        <w:t>70.83</w:t>
      </w:r>
      <w:r>
        <w:rPr>
          <w:rFonts w:hint="eastAsia" w:ascii="仿宋_GB2312" w:eastAsia="仿宋_GB2312"/>
          <w:sz w:val="32"/>
          <w:szCs w:val="32"/>
        </w:rPr>
        <w:t>%。学位点拥有</w:t>
      </w:r>
      <w:r>
        <w:rPr>
          <w:rFonts w:hint="eastAsia" w:ascii="仿宋_GB2312" w:eastAsia="仿宋_GB2312"/>
          <w:sz w:val="32"/>
          <w:szCs w:val="32"/>
          <w:lang w:val="en-US" w:eastAsia="zh-CN"/>
        </w:rPr>
        <w:t>中宣部宣传思想文化青年英才1人、</w:t>
      </w:r>
      <w:r>
        <w:rPr>
          <w:rFonts w:hint="eastAsia" w:ascii="仿宋_GB2312" w:eastAsia="仿宋_GB2312"/>
          <w:sz w:val="32"/>
          <w:szCs w:val="32"/>
        </w:rPr>
        <w:t>全国理论宣讲先进个人1人</w:t>
      </w:r>
      <w:r>
        <w:rPr>
          <w:rFonts w:hint="eastAsia" w:ascii="仿宋_GB2312" w:eastAsia="仿宋_GB2312"/>
          <w:sz w:val="32"/>
          <w:szCs w:val="32"/>
          <w:lang w:val="en-US" w:eastAsia="zh-CN"/>
        </w:rPr>
        <w:t>、</w:t>
      </w:r>
      <w:r>
        <w:rPr>
          <w:rFonts w:hint="eastAsia" w:ascii="仿宋_GB2312" w:eastAsia="仿宋_GB2312"/>
          <w:sz w:val="32"/>
          <w:szCs w:val="32"/>
        </w:rPr>
        <w:t>“基础”课教材2015版修订专家1人</w:t>
      </w:r>
      <w:r>
        <w:rPr>
          <w:rFonts w:hint="eastAsia" w:ascii="仿宋_GB2312" w:eastAsia="仿宋_GB2312"/>
          <w:sz w:val="32"/>
          <w:szCs w:val="32"/>
          <w:lang w:val="en-US" w:eastAsia="zh-CN"/>
        </w:rPr>
        <w:t>、</w:t>
      </w:r>
      <w:r>
        <w:rPr>
          <w:rFonts w:hint="eastAsia" w:ascii="仿宋_GB2312" w:eastAsia="仿宋_GB2312"/>
          <w:sz w:val="32"/>
          <w:szCs w:val="32"/>
        </w:rPr>
        <w:t>全国优秀教师2人</w:t>
      </w:r>
      <w:r>
        <w:rPr>
          <w:rFonts w:hint="eastAsia" w:ascii="仿宋_GB2312" w:eastAsia="仿宋_GB2312"/>
          <w:sz w:val="32"/>
          <w:szCs w:val="32"/>
          <w:lang w:val="en-US" w:eastAsia="zh-CN"/>
        </w:rPr>
        <w:t>、</w:t>
      </w:r>
      <w:r>
        <w:rPr>
          <w:rFonts w:hint="eastAsia" w:ascii="仿宋_GB2312" w:eastAsia="仿宋_GB2312"/>
          <w:sz w:val="32"/>
          <w:szCs w:val="32"/>
        </w:rPr>
        <w:t>全国高校思想政治理论课骨干教师2人</w:t>
      </w:r>
      <w:r>
        <w:rPr>
          <w:rFonts w:hint="eastAsia" w:ascii="仿宋_GB2312" w:eastAsia="仿宋_GB2312"/>
          <w:sz w:val="32"/>
          <w:szCs w:val="32"/>
          <w:lang w:val="en-US" w:eastAsia="zh-CN"/>
        </w:rPr>
        <w:t>、</w:t>
      </w:r>
      <w:r>
        <w:rPr>
          <w:rFonts w:hint="eastAsia" w:ascii="仿宋_GB2312" w:eastAsia="仿宋_GB2312"/>
          <w:sz w:val="32"/>
          <w:szCs w:val="32"/>
        </w:rPr>
        <w:t>全国高校思想政治理论课教师年度影响力人物1人、影响力提名人物3人</w:t>
      </w:r>
      <w:r>
        <w:rPr>
          <w:rFonts w:hint="eastAsia" w:ascii="仿宋_GB2312" w:eastAsia="仿宋_GB2312"/>
          <w:sz w:val="32"/>
          <w:szCs w:val="32"/>
          <w:lang w:val="en-US" w:eastAsia="zh-CN"/>
        </w:rPr>
        <w:t>、</w:t>
      </w:r>
      <w:r>
        <w:rPr>
          <w:rFonts w:hint="eastAsia" w:ascii="仿宋_GB2312" w:eastAsia="仿宋_GB2312"/>
          <w:sz w:val="32"/>
          <w:szCs w:val="32"/>
        </w:rPr>
        <w:t>全国高校思想政治理论课择优支持计划人选1人</w:t>
      </w:r>
      <w:r>
        <w:rPr>
          <w:rFonts w:hint="eastAsia" w:ascii="仿宋_GB2312" w:eastAsia="仿宋_GB2312"/>
          <w:sz w:val="32"/>
          <w:szCs w:val="32"/>
          <w:lang w:val="en-US" w:eastAsia="zh-CN"/>
        </w:rPr>
        <w:t>、</w:t>
      </w:r>
      <w:r>
        <w:rPr>
          <w:rFonts w:hint="eastAsia" w:ascii="仿宋_GB2312" w:eastAsia="仿宋_GB2312"/>
          <w:sz w:val="32"/>
          <w:szCs w:val="32"/>
        </w:rPr>
        <w:t>全国高校思想政治理论课中青年骨干教师择优资助计划人选2人</w:t>
      </w:r>
      <w:r>
        <w:rPr>
          <w:rFonts w:hint="eastAsia" w:ascii="仿宋_GB2312" w:eastAsia="仿宋_GB2312"/>
          <w:sz w:val="32"/>
          <w:szCs w:val="32"/>
          <w:lang w:val="en-US" w:eastAsia="zh-CN"/>
        </w:rPr>
        <w:t>、</w:t>
      </w:r>
      <w:r>
        <w:rPr>
          <w:rFonts w:hint="eastAsia" w:ascii="仿宋_GB2312" w:eastAsia="仿宋_GB2312"/>
          <w:sz w:val="32"/>
          <w:szCs w:val="32"/>
        </w:rPr>
        <w:t>省首届思想政治理论课学科和课程带头人2人</w:t>
      </w:r>
      <w:r>
        <w:rPr>
          <w:rFonts w:hint="eastAsia" w:ascii="仿宋_GB2312" w:eastAsia="仿宋_GB2312"/>
          <w:sz w:val="32"/>
          <w:szCs w:val="32"/>
          <w:lang w:val="en-US" w:eastAsia="zh-CN"/>
        </w:rPr>
        <w:t>、</w:t>
      </w:r>
      <w:r>
        <w:rPr>
          <w:rFonts w:hint="eastAsia" w:ascii="仿宋_GB2312" w:eastAsia="仿宋_GB2312"/>
          <w:sz w:val="32"/>
          <w:szCs w:val="32"/>
        </w:rPr>
        <w:t>省社会科学普及名家1人</w:t>
      </w:r>
      <w:r>
        <w:rPr>
          <w:rFonts w:hint="eastAsia" w:ascii="仿宋_GB2312" w:eastAsia="仿宋_GB2312"/>
          <w:sz w:val="32"/>
          <w:szCs w:val="32"/>
          <w:lang w:val="en-US" w:eastAsia="zh-CN"/>
        </w:rPr>
        <w:t>、</w:t>
      </w:r>
      <w:r>
        <w:rPr>
          <w:rFonts w:hint="eastAsia" w:ascii="仿宋_GB2312" w:eastAsia="仿宋_GB2312"/>
          <w:sz w:val="32"/>
          <w:szCs w:val="32"/>
        </w:rPr>
        <w:t>省理论宣讲专家库专家3人</w:t>
      </w:r>
      <w:r>
        <w:rPr>
          <w:rFonts w:hint="eastAsia" w:ascii="仿宋_GB2312" w:eastAsia="仿宋_GB2312"/>
          <w:sz w:val="32"/>
          <w:szCs w:val="32"/>
          <w:lang w:val="en-US" w:eastAsia="zh-CN"/>
        </w:rPr>
        <w:t>、</w:t>
      </w:r>
      <w:r>
        <w:rPr>
          <w:rFonts w:hint="eastAsia" w:ascii="仿宋_GB2312" w:eastAsia="仿宋_GB2312"/>
          <w:sz w:val="32"/>
          <w:szCs w:val="32"/>
        </w:rPr>
        <w:t>高校思政课教学名师工作室 2 个、校严家显奖教金 1 人</w:t>
      </w:r>
      <w:r>
        <w:rPr>
          <w:rFonts w:hint="eastAsia" w:ascii="仿宋_GB2312" w:eastAsia="仿宋_GB2312"/>
          <w:sz w:val="32"/>
          <w:szCs w:val="32"/>
          <w:lang w:val="en-US" w:eastAsia="zh-CN"/>
        </w:rPr>
        <w:t>、</w:t>
      </w:r>
      <w:r>
        <w:rPr>
          <w:rFonts w:hint="eastAsia" w:ascii="仿宋_GB2312" w:eastAsia="仿宋_GB2312"/>
          <w:sz w:val="32"/>
          <w:szCs w:val="32"/>
        </w:rPr>
        <w:t>校“金山学者”教学人才4人</w:t>
      </w:r>
      <w:r>
        <w:rPr>
          <w:rFonts w:hint="eastAsia" w:ascii="仿宋_GB2312" w:eastAsia="仿宋_GB2312"/>
          <w:sz w:val="32"/>
          <w:szCs w:val="32"/>
          <w:lang w:val="en-US" w:eastAsia="zh-CN"/>
        </w:rPr>
        <w:t>、</w:t>
      </w:r>
      <w:r>
        <w:rPr>
          <w:rFonts w:hint="eastAsia" w:ascii="仿宋_GB2312" w:eastAsia="仿宋_GB2312"/>
          <w:sz w:val="32"/>
          <w:szCs w:val="32"/>
        </w:rPr>
        <w:t>首届全国高校思想政治理论课教学展示一等奖2人</w:t>
      </w:r>
      <w:r>
        <w:rPr>
          <w:rFonts w:hint="eastAsia" w:ascii="仿宋_GB2312" w:eastAsia="仿宋_GB2312"/>
          <w:sz w:val="32"/>
          <w:szCs w:val="32"/>
          <w:lang w:val="en-US" w:eastAsia="zh-CN"/>
        </w:rPr>
        <w:t>、</w:t>
      </w:r>
      <w:r>
        <w:rPr>
          <w:rFonts w:hint="eastAsia" w:ascii="仿宋_GB2312" w:eastAsia="仿宋_GB2312"/>
          <w:sz w:val="32"/>
          <w:szCs w:val="32"/>
        </w:rPr>
        <w:t>二等奖2人</w:t>
      </w:r>
      <w:r>
        <w:rPr>
          <w:rFonts w:hint="eastAsia" w:ascii="仿宋_GB2312" w:eastAsia="仿宋_GB2312"/>
          <w:sz w:val="32"/>
          <w:szCs w:val="32"/>
          <w:lang w:eastAsia="zh-CN"/>
        </w:rPr>
        <w:t>，</w:t>
      </w:r>
      <w:r>
        <w:rPr>
          <w:rFonts w:hint="eastAsia" w:ascii="仿宋_GB2312" w:eastAsia="仿宋_GB2312"/>
          <w:sz w:val="32"/>
          <w:szCs w:val="32"/>
        </w:rPr>
        <w:t>1人当选为省高校思政课教指委副主任</w:t>
      </w:r>
      <w:r>
        <w:rPr>
          <w:rFonts w:hint="eastAsia" w:ascii="仿宋_GB2312" w:eastAsia="仿宋_GB2312"/>
          <w:sz w:val="32"/>
          <w:szCs w:val="32"/>
          <w:lang w:eastAsia="zh-CN"/>
        </w:rPr>
        <w:t>（</w:t>
      </w:r>
      <w:r>
        <w:rPr>
          <w:rFonts w:hint="eastAsia" w:ascii="仿宋_GB2312" w:eastAsia="仿宋_GB2312"/>
          <w:sz w:val="32"/>
          <w:szCs w:val="32"/>
        </w:rPr>
        <w:t>“基础”课分教指委主任</w:t>
      </w:r>
      <w:r>
        <w:rPr>
          <w:rFonts w:hint="eastAsia" w:ascii="仿宋_GB2312" w:eastAsia="仿宋_GB2312"/>
          <w:sz w:val="32"/>
          <w:szCs w:val="32"/>
          <w:lang w:eastAsia="zh-CN"/>
        </w:rPr>
        <w:t>），</w:t>
      </w:r>
      <w:r>
        <w:rPr>
          <w:rFonts w:hint="eastAsia" w:ascii="仿宋_GB2312" w:eastAsia="仿宋_GB2312"/>
          <w:sz w:val="32"/>
          <w:szCs w:val="32"/>
        </w:rPr>
        <w:t>1人当选为省高校思政课教指委秘书长</w:t>
      </w:r>
      <w:r>
        <w:rPr>
          <w:rFonts w:hint="eastAsia" w:ascii="仿宋_GB2312" w:eastAsia="仿宋_GB2312"/>
          <w:sz w:val="32"/>
          <w:szCs w:val="32"/>
          <w:lang w:eastAsia="zh-CN"/>
        </w:rPr>
        <w:t>，</w:t>
      </w:r>
      <w:r>
        <w:rPr>
          <w:rFonts w:hint="eastAsia" w:ascii="仿宋_GB2312" w:eastAsia="仿宋_GB2312"/>
          <w:sz w:val="32"/>
          <w:szCs w:val="32"/>
        </w:rPr>
        <w:t>1人入选省首批“高校思想政治教育中青年杰出人才支持计划”</w:t>
      </w:r>
      <w:r>
        <w:rPr>
          <w:rFonts w:hint="eastAsia" w:ascii="仿宋_GB2312" w:eastAsia="仿宋_GB2312"/>
          <w:sz w:val="32"/>
          <w:szCs w:val="32"/>
          <w:lang w:eastAsia="zh-CN"/>
        </w:rPr>
        <w:t>，</w:t>
      </w:r>
      <w:r>
        <w:rPr>
          <w:rFonts w:hint="eastAsia" w:ascii="仿宋_GB2312" w:eastAsia="仿宋_GB2312"/>
          <w:sz w:val="32"/>
          <w:szCs w:val="32"/>
        </w:rPr>
        <w:t>1人入选“省高校新世纪优秀人才支持计划”。现有省委理论宣讲团专家成员2人</w:t>
      </w:r>
      <w:r>
        <w:rPr>
          <w:rFonts w:hint="eastAsia" w:ascii="仿宋_GB2312" w:eastAsia="仿宋_GB2312"/>
          <w:sz w:val="32"/>
          <w:szCs w:val="32"/>
          <w:lang w:val="en-US" w:eastAsia="zh-CN"/>
        </w:rPr>
        <w:t>、</w:t>
      </w:r>
      <w:r>
        <w:rPr>
          <w:rFonts w:hint="eastAsia" w:ascii="仿宋_GB2312" w:eastAsia="仿宋_GB2312"/>
          <w:sz w:val="32"/>
          <w:szCs w:val="32"/>
        </w:rPr>
        <w:t>校党委理论宣讲团成员</w:t>
      </w:r>
      <w:r>
        <w:rPr>
          <w:rFonts w:hint="eastAsia" w:ascii="仿宋_GB2312" w:eastAsia="仿宋_GB2312"/>
          <w:sz w:val="32"/>
          <w:szCs w:val="32"/>
          <w:lang w:val="en-US" w:eastAsia="zh-CN"/>
        </w:rPr>
        <w:t>7</w:t>
      </w:r>
      <w:r>
        <w:rPr>
          <w:rFonts w:hint="eastAsia" w:ascii="仿宋_GB2312" w:eastAsia="仿宋_GB2312"/>
          <w:sz w:val="32"/>
          <w:szCs w:val="32"/>
        </w:rPr>
        <w:t>人。</w:t>
      </w:r>
    </w:p>
    <w:p>
      <w:pPr>
        <w:pageBreakBefore w:val="0"/>
        <w:numPr>
          <w:ilvl w:val="0"/>
          <w:numId w:val="3"/>
        </w:numPr>
        <w:kinsoku/>
        <w:wordWrap/>
        <w:overflowPunct/>
        <w:topLinePunct w:val="0"/>
        <w:autoSpaceDE/>
        <w:autoSpaceDN/>
        <w:bidi w:val="0"/>
        <w:adjustRightInd w:val="0"/>
        <w:spacing w:line="560" w:lineRule="exact"/>
        <w:ind w:firstLine="643" w:firstLineChars="200"/>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其他</w:t>
      </w:r>
    </w:p>
    <w:p>
      <w:pPr>
        <w:pageBreakBefore w:val="0"/>
        <w:numPr>
          <w:ilvl w:val="0"/>
          <w:numId w:val="0"/>
        </w:numPr>
        <w:kinsoku/>
        <w:wordWrap/>
        <w:overflowPunct/>
        <w:topLinePunct w:val="0"/>
        <w:autoSpaceDE/>
        <w:autoSpaceDN/>
        <w:bidi w:val="0"/>
        <w:adjustRightIn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本学科拥有教育部级及省级研究基地、省级教学平台共10个</w:t>
      </w:r>
      <w:r>
        <w:rPr>
          <w:rFonts w:hint="eastAsia" w:ascii="仿宋_GB2312" w:eastAsia="仿宋_GB2312"/>
          <w:sz w:val="32"/>
          <w:szCs w:val="32"/>
          <w:lang w:eastAsia="zh-CN"/>
        </w:rPr>
        <w:t>。</w:t>
      </w:r>
    </w:p>
    <w:p>
      <w:pPr>
        <w:pageBreakBefore w:val="0"/>
        <w:kinsoku/>
        <w:wordWrap/>
        <w:overflowPunct/>
        <w:topLinePunct w:val="0"/>
        <w:autoSpaceDE/>
        <w:autoSpaceDN/>
        <w:bidi w:val="0"/>
        <w:adjustRightIn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全国高校思政课骨干教师社会实践研修基地（部委级）；（2）共青团中国特色社会主义理论体系研究中心（部委级）；（3）福建省社科研究基地马克思主义中国化研究中心（省级）；（4）福建省马克思主义理论（思想政治教育）研究生教育创新基地（省级）；（5）福建农林大学中国特色社会主义理论体系研究中心（省级）；（6）福建省高校思想政治理论课刘新玲教学名师工作室；（7）福建省高校思想政治理论课李宝艳教学名师工作室；（8）福建省高校网络文化示范工作室；（9）福建省高校马克思主义理论重点读书社“中共党史读书社”；（10）福建省高校马克思主义理论重点读书社“习近平新时代中国特色社会主义思想读书社”。这些教学研究的基地平台为师生交流研讨、实践研修等提供了依托。</w:t>
      </w:r>
    </w:p>
    <w:p>
      <w:pPr>
        <w:pageBreakBefore w:val="0"/>
        <w:kinsoku/>
        <w:wordWrap/>
        <w:overflowPunct/>
        <w:topLinePunct w:val="0"/>
        <w:autoSpaceDE/>
        <w:autoSpaceDN/>
        <w:bidi w:val="0"/>
        <w:adjustRightInd w:val="0"/>
        <w:spacing w:line="560" w:lineRule="exact"/>
        <w:ind w:firstLine="643" w:firstLineChars="200"/>
        <w:jc w:val="both"/>
        <w:rPr>
          <w:rFonts w:ascii="仿宋_GB2312" w:eastAsia="仿宋_GB2312"/>
          <w:b/>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.奖助体系</w:t>
      </w:r>
    </w:p>
    <w:p>
      <w:pPr>
        <w:pageBreakBefore w:val="0"/>
        <w:kinsoku/>
        <w:wordWrap/>
        <w:overflowPunct/>
        <w:topLinePunct w:val="0"/>
        <w:autoSpaceDE/>
        <w:autoSpaceDN/>
        <w:bidi w:val="0"/>
        <w:adjustRightIn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（1）建立起涵盖“三助”岗位、专项奖学金(研究生国家奖学金、严家显最高奖学金等)、研究生学业奖学金、国家助学货款、社会资助项目、临时困难补助及</w:t>
      </w:r>
      <w:r>
        <w:rPr>
          <w:rFonts w:hint="eastAsia" w:ascii="仿宋_GB2312" w:eastAsia="仿宋_GB2312"/>
          <w:sz w:val="32"/>
          <w:szCs w:val="32"/>
          <w:lang w:val="en-US" w:eastAsia="zh-CN"/>
        </w:rPr>
        <w:t>其他专项</w:t>
      </w:r>
      <w:r>
        <w:rPr>
          <w:rFonts w:hint="eastAsia" w:ascii="仿宋_GB2312" w:eastAsia="仿宋_GB2312"/>
          <w:sz w:val="32"/>
          <w:szCs w:val="32"/>
        </w:rPr>
        <w:t>助学金等在内的全方位、立体式、多层面的奖助体系。（2）以资助育人和科研导向为指引，全面协调全校研究生奖助工作，形成了校院两级研究生奖助管理体制。（3）坚持经济资助与精神激励相结合，定期宣传展示研究生国家奖学金和严家显奖学金获得者的先进事迹，积极倡导爱国奉献、自立自强精神。</w:t>
      </w:r>
    </w:p>
    <w:p>
      <w:pPr>
        <w:pageBreakBefore w:val="0"/>
        <w:kinsoku/>
        <w:wordWrap/>
        <w:overflowPunct/>
        <w:topLinePunct w:val="0"/>
        <w:autoSpaceDE/>
        <w:autoSpaceDN/>
        <w:bidi w:val="0"/>
        <w:adjustRightInd w:val="0"/>
        <w:spacing w:line="560" w:lineRule="exact"/>
        <w:ind w:firstLine="643" w:firstLineChars="200"/>
        <w:jc w:val="both"/>
        <w:rPr>
          <w:rFonts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.管理服务</w:t>
      </w:r>
    </w:p>
    <w:p>
      <w:pPr>
        <w:pageBreakBefore w:val="0"/>
        <w:kinsoku/>
        <w:wordWrap/>
        <w:overflowPunct/>
        <w:topLinePunct w:val="0"/>
        <w:autoSpaceDE/>
        <w:autoSpaceDN/>
        <w:bidi w:val="0"/>
        <w:adjustRightInd w:val="0"/>
        <w:spacing w:line="560" w:lineRule="exact"/>
        <w:ind w:firstLine="640" w:firstLineChars="200"/>
        <w:jc w:val="both"/>
      </w:pPr>
      <w:r>
        <w:rPr>
          <w:rFonts w:hint="eastAsia" w:ascii="仿宋_GB2312" w:eastAsia="仿宋_GB2312"/>
          <w:sz w:val="32"/>
          <w:szCs w:val="32"/>
        </w:rPr>
        <w:t>本学科共有专职管理人员</w:t>
      </w:r>
      <w:r>
        <w:rPr>
          <w:rFonts w:hint="eastAsia" w:ascii="仿宋_GB2312" w:eastAsia="仿宋_GB2312"/>
          <w:sz w:val="32"/>
          <w:szCs w:val="32"/>
          <w:lang w:val="en-US" w:eastAsia="zh-CN"/>
        </w:rPr>
        <w:t>8</w:t>
      </w:r>
      <w:r>
        <w:rPr>
          <w:rFonts w:hint="eastAsia" w:ascii="仿宋_GB2312" w:eastAsia="仿宋_GB2312"/>
          <w:sz w:val="32"/>
          <w:szCs w:val="32"/>
        </w:rPr>
        <w:t>名，负责日常办公、教学、科研等服务。学院建立了《福建农林大学马克思主义学院研究生会章程》，规定了会员的权利和义务，及时反映同学意见，维护同学正当利益，协助学院解决同学学习生活中的实际问题，遇到困难时，有权向本会反映并寻求帮助。根据校就业中心《202</w:t>
      </w:r>
      <w:r>
        <w:rPr>
          <w:rFonts w:hint="eastAsia" w:ascii="仿宋_GB2312" w:eastAsia="仿宋_GB2312"/>
          <w:sz w:val="32"/>
          <w:szCs w:val="32"/>
          <w:lang w:val="en-US" w:eastAsia="zh-CN"/>
        </w:rPr>
        <w:t>1</w:t>
      </w:r>
      <w:r>
        <w:rPr>
          <w:rFonts w:hint="eastAsia" w:ascii="仿宋_GB2312" w:eastAsia="仿宋_GB2312"/>
          <w:sz w:val="32"/>
          <w:szCs w:val="32"/>
        </w:rPr>
        <w:t>届毕业生就业质量报告》显示，毕业总数2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人，毕业生对教学工作整体满意度为</w:t>
      </w:r>
      <w:r>
        <w:rPr>
          <w:rFonts w:hint="eastAsia" w:ascii="仿宋_GB2312" w:eastAsia="仿宋_GB2312"/>
          <w:sz w:val="32"/>
          <w:szCs w:val="32"/>
          <w:highlight w:val="none"/>
          <w:lang w:val="en-US" w:eastAsia="zh-CN"/>
        </w:rPr>
        <w:t>98.98</w:t>
      </w:r>
      <w:r>
        <w:rPr>
          <w:rFonts w:hint="eastAsia" w:ascii="仿宋_GB2312" w:eastAsia="仿宋_GB2312"/>
          <w:sz w:val="32"/>
          <w:szCs w:val="32"/>
          <w:highlight w:val="none"/>
        </w:rPr>
        <w:t>%；毕业生对学习环境满意度为</w:t>
      </w:r>
      <w:r>
        <w:rPr>
          <w:rFonts w:hint="eastAsia" w:ascii="仿宋_GB2312" w:eastAsia="仿宋_GB2312"/>
          <w:sz w:val="32"/>
          <w:szCs w:val="32"/>
          <w:highlight w:val="none"/>
          <w:lang w:val="en-US" w:eastAsia="zh-CN"/>
        </w:rPr>
        <w:t>98.34</w:t>
      </w:r>
      <w:r>
        <w:rPr>
          <w:rFonts w:hint="eastAsia" w:ascii="仿宋_GB2312" w:eastAsia="仿宋_GB2312"/>
          <w:sz w:val="32"/>
          <w:szCs w:val="32"/>
          <w:highlight w:val="none"/>
        </w:rPr>
        <w:t>%；对课程设置满意度为</w:t>
      </w:r>
      <w:r>
        <w:rPr>
          <w:rFonts w:hint="eastAsia" w:ascii="仿宋_GB2312" w:eastAsia="仿宋_GB2312"/>
          <w:sz w:val="32"/>
          <w:szCs w:val="32"/>
          <w:highlight w:val="none"/>
          <w:lang w:val="en-US" w:eastAsia="zh-CN"/>
        </w:rPr>
        <w:t>98.08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总体满意较高，呈现良好态势。</w:t>
      </w:r>
    </w:p>
    <w:p>
      <w:pPr>
        <w:pageBreakBefore w:val="0"/>
        <w:numPr>
          <w:ilvl w:val="0"/>
          <w:numId w:val="1"/>
        </w:numPr>
        <w:kinsoku/>
        <w:wordWrap/>
        <w:overflowPunct/>
        <w:topLinePunct w:val="0"/>
        <w:autoSpaceDE/>
        <w:autoSpaceDN/>
        <w:bidi w:val="0"/>
        <w:spacing w:line="560" w:lineRule="exact"/>
        <w:ind w:left="0" w:leftChars="0" w:firstLine="643" w:firstLineChars="200"/>
        <w:jc w:val="both"/>
        <w:rPr>
          <w:rFonts w:hint="eastAsia" w:ascii="仿宋_GB2312" w:hAnsi="黑体" w:eastAsia="仿宋_GB2312" w:cs="黑体"/>
          <w:b/>
          <w:sz w:val="32"/>
          <w:szCs w:val="32"/>
        </w:rPr>
      </w:pPr>
      <w:r>
        <w:rPr>
          <w:rFonts w:hint="eastAsia" w:ascii="仿宋_GB2312" w:hAnsi="黑体" w:eastAsia="仿宋_GB2312" w:cs="黑体"/>
          <w:b/>
          <w:bCs w:val="0"/>
          <w:sz w:val="32"/>
          <w:szCs w:val="32"/>
        </w:rPr>
        <w:t>人才培养</w:t>
      </w:r>
      <w:r>
        <w:rPr>
          <w:rFonts w:hint="eastAsia" w:ascii="仿宋_GB2312" w:hAnsi="黑体" w:eastAsia="仿宋_GB2312" w:cs="黑体"/>
          <w:bCs/>
          <w:sz w:val="32"/>
          <w:szCs w:val="32"/>
        </w:rPr>
        <w:t>：思想政治教育、师德师风建设、招生选拔、课程教学、导师管理、学术训练或实习实践</w:t>
      </w:r>
    </w:p>
    <w:p>
      <w:pPr>
        <w:pageBreakBefore w:val="0"/>
        <w:kinsoku/>
        <w:wordWrap/>
        <w:overflowPunct/>
        <w:topLinePunct w:val="0"/>
        <w:autoSpaceDE/>
        <w:autoSpaceDN/>
        <w:bidi w:val="0"/>
        <w:spacing w:line="560" w:lineRule="exact"/>
        <w:ind w:firstLine="643" w:firstLineChars="200"/>
        <w:jc w:val="both"/>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1.</w:t>
      </w:r>
      <w:r>
        <w:rPr>
          <w:rFonts w:hint="eastAsia" w:ascii="仿宋_GB2312" w:hAnsi="黑体" w:eastAsia="仿宋_GB2312" w:cs="黑体"/>
          <w:b/>
          <w:bCs w:val="0"/>
          <w:sz w:val="32"/>
          <w:szCs w:val="32"/>
        </w:rPr>
        <w:t>思想政治教育</w:t>
      </w:r>
    </w:p>
    <w:p>
      <w:pPr>
        <w:pageBreakBefore w:val="0"/>
        <w:kinsoku/>
        <w:wordWrap/>
        <w:overflowPunct/>
        <w:topLinePunct w:val="0"/>
        <w:autoSpaceDE/>
        <w:autoSpaceDN/>
        <w:bidi w:val="0"/>
        <w:spacing w:line="560" w:lineRule="exact"/>
        <w:ind w:firstLine="640" w:firstLineChars="200"/>
        <w:jc w:val="both"/>
      </w:pPr>
      <w:r>
        <w:rPr>
          <w:rFonts w:hint="eastAsia" w:ascii="仿宋_GB2312" w:hAnsi="黑体" w:eastAsia="仿宋_GB2312" w:cs="黑体"/>
          <w:bCs/>
          <w:sz w:val="32"/>
          <w:szCs w:val="32"/>
          <w:lang w:val="en-US" w:eastAsia="zh-CN"/>
        </w:rPr>
        <w:t>为强化研究生的思想政治教育，本学位点采取了一系列有力举措，取得了显著成效。一是明确导师在研究生思想政治教育中“第一责任人”的作用。学院要求导师对学生的日常行为规范、学术道德、学术诚信等开展多种形式的指导，并结合常态化疫情防控工作，时常关注学生的思想动态、情绪变化，对不良心理情绪及时进行疏解。二是发挥先进典型在党建工作中的“助推器”作用，使党员教育与研究生的实际需求相结合、学术科研相结合、成长成才相结合。2022年，研究生党员进行习近平新时代中国特色社会主义思想、党的二十大报告宣讲等40余场，发表理论文章60余篇，参与导师课题研究项目20余项。</w:t>
      </w:r>
    </w:p>
    <w:p>
      <w:pPr>
        <w:pageBreakBefore w:val="0"/>
        <w:kinsoku/>
        <w:wordWrap/>
        <w:overflowPunct/>
        <w:topLinePunct w:val="0"/>
        <w:autoSpaceDE/>
        <w:autoSpaceDN/>
        <w:bidi w:val="0"/>
        <w:spacing w:line="560" w:lineRule="exact"/>
        <w:ind w:firstLine="643" w:firstLineChars="200"/>
        <w:jc w:val="left"/>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2.</w:t>
      </w:r>
      <w:r>
        <w:rPr>
          <w:rFonts w:hint="eastAsia" w:ascii="仿宋_GB2312" w:hAnsi="黑体" w:eastAsia="仿宋_GB2312" w:cs="黑体"/>
          <w:b/>
          <w:bCs w:val="0"/>
          <w:sz w:val="32"/>
          <w:szCs w:val="32"/>
        </w:rPr>
        <w:t>师德师风建设</w:t>
      </w:r>
    </w:p>
    <w:p>
      <w:pPr>
        <w:pageBreakBefore w:val="0"/>
        <w:kinsoku/>
        <w:wordWrap/>
        <w:overflowPunct/>
        <w:topLinePunct w:val="0"/>
        <w:autoSpaceDE/>
        <w:autoSpaceDN/>
        <w:bidi w:val="0"/>
        <w:spacing w:line="560" w:lineRule="exact"/>
        <w:ind w:firstLine="640" w:firstLineChars="200"/>
        <w:jc w:val="both"/>
        <w:rPr>
          <w:rFonts w:hint="eastAsia"/>
          <w:lang w:val="en-US" w:eastAsia="zh-CN"/>
        </w:rPr>
      </w:pPr>
      <w:r>
        <w:rPr>
          <w:rFonts w:hint="eastAsia" w:ascii="仿宋_GB2312" w:hAnsi="黑体" w:eastAsia="仿宋_GB2312" w:cs="黑体"/>
          <w:bCs/>
          <w:sz w:val="32"/>
          <w:szCs w:val="32"/>
          <w:lang w:val="en-US" w:eastAsia="zh-CN"/>
        </w:rPr>
        <w:t>本学位点坚持把师德师风和意识形态表现作为评价导师的第一标准。根据上级部门要求，以及学校《福建农林大学教师职业行为负面清单及师德失范行为处理办法》、《师德师风和意识形态测评考核实施细则》等文件，将为人师表、学术道德、学术规范等纳入个人诚信体系，坚持自律与监督并重，严格执行“师德师风”一票否决制。同时，根据《福建农林大学关于建立健全师德建设长效机制的实施办法》，学院制定了《学科师德师风建设自查表》和《马克思主义学院教师师德师风承诺书》，着力健全师德师风建设长效机制，确保师德师风建设机制化、常态化。此外，通过定期组织政治学习，树立师德师风正面典型，要求教师课堂讲授有纪律，行为言论有底线，做“为党育人、为国育才”的合格的人民教师。</w:t>
      </w:r>
    </w:p>
    <w:p>
      <w:pPr>
        <w:pageBreakBefore w:val="0"/>
        <w:kinsoku/>
        <w:wordWrap/>
        <w:overflowPunct/>
        <w:topLinePunct w:val="0"/>
        <w:autoSpaceDE/>
        <w:autoSpaceDN/>
        <w:bidi w:val="0"/>
        <w:spacing w:line="560" w:lineRule="exact"/>
        <w:ind w:firstLine="643" w:firstLineChars="200"/>
        <w:jc w:val="left"/>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3.</w:t>
      </w:r>
      <w:r>
        <w:rPr>
          <w:rFonts w:hint="eastAsia" w:ascii="仿宋_GB2312" w:hAnsi="黑体" w:eastAsia="仿宋_GB2312" w:cs="黑体"/>
          <w:b/>
          <w:bCs w:val="0"/>
          <w:sz w:val="32"/>
          <w:szCs w:val="32"/>
        </w:rPr>
        <w:t>招生选拔</w:t>
      </w:r>
    </w:p>
    <w:p>
      <w:pPr>
        <w:pageBreakBefore w:val="0"/>
        <w:kinsoku/>
        <w:wordWrap/>
        <w:overflowPunct/>
        <w:topLinePunct w:val="0"/>
        <w:autoSpaceDE/>
        <w:autoSpaceDN/>
        <w:bidi w:val="0"/>
        <w:spacing w:line="560" w:lineRule="exact"/>
        <w:ind w:firstLine="640" w:firstLineChars="200"/>
        <w:jc w:val="left"/>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为确保研究生招生录取工作科学公正、规范透明，把最优秀的学生选拔到马克思主义理论学科，本学位点根据教育部《2022年全国硕士研究生招生工作管理规定》、《教育部办公厅关于做好2022年全国硕士研究生招生录取工作的通知》、福建省教育厅《关于做好2022年硕士研究生复试有关工作的通知》及《福建农林大学2022年招收攻读硕士学位研究生复试录取办法 》有关规定，制定了科学细致、公平合理的复试录取办法，包括坚持“按需招生、综合素质全面衡量，择优录取，宁缺勿滥”的原则，遵循对复试考生资格进行严格审查的程序，全面考核复试考生的专业素质能力、综合素质能力、身体素质等，按照“考生总成绩排名，从高分到低分依次录取”的办法进行录取，以及对拟录取考生名单进行公示等。经过严格的招生选拔程序，本学位点2022年共录取66名研究生新生。</w:t>
      </w:r>
    </w:p>
    <w:p>
      <w:pPr>
        <w:pStyle w:val="2"/>
        <w:pageBreakBefore w:val="0"/>
        <w:kinsoku/>
        <w:wordWrap/>
        <w:overflowPunct/>
        <w:topLinePunct w:val="0"/>
        <w:autoSpaceDE/>
        <w:autoSpaceDN/>
        <w:bidi w:val="0"/>
        <w:adjustRightInd w:val="0"/>
        <w:snapToGrid w:val="0"/>
        <w:spacing w:before="120" w:after="120" w:line="560" w:lineRule="exact"/>
        <w:jc w:val="center"/>
        <w:rPr>
          <w:rFonts w:hint="eastAsia" w:ascii="Times New Roman" w:hAnsi="Times New Roman" w:cs="Times New Roman"/>
          <w:b/>
          <w:bCs w:val="0"/>
          <w:kern w:val="2"/>
          <w:sz w:val="28"/>
          <w:szCs w:val="28"/>
          <w:lang w:val="en-US" w:eastAsia="zh-CN"/>
        </w:rPr>
      </w:pPr>
      <w:r>
        <w:rPr>
          <w:rFonts w:hint="eastAsia" w:ascii="Times New Roman" w:hAnsi="Times New Roman" w:cs="Times New Roman"/>
          <w:b/>
          <w:bCs w:val="0"/>
          <w:kern w:val="2"/>
          <w:sz w:val="28"/>
          <w:szCs w:val="28"/>
          <w:lang w:val="en-US" w:eastAsia="zh-CN"/>
        </w:rPr>
        <w:t>2022年本学位点招生情况</w:t>
      </w:r>
    </w:p>
    <w:tbl>
      <w:tblPr>
        <w:tblStyle w:val="6"/>
        <w:tblW w:w="951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09"/>
        <w:gridCol w:w="482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0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rPr>
                <w:rFonts w:hint="eastAsia" w:ascii="仿宋_GB2312" w:eastAsia="仿宋_GB2312"/>
                <w:b/>
                <w:bCs/>
                <w:color w:val="000000"/>
                <w:sz w:val="24"/>
                <w:szCs w:val="24"/>
              </w:rPr>
            </w:pPr>
            <w:r>
              <w:rPr>
                <w:rFonts w:hint="eastAsia" w:ascii="仿宋_GB2312" w:eastAsia="仿宋_GB2312"/>
                <w:b/>
                <w:bCs/>
                <w:color w:val="000000"/>
                <w:sz w:val="24"/>
                <w:szCs w:val="24"/>
              </w:rPr>
              <w:t>学科方向名称</w:t>
            </w:r>
          </w:p>
        </w:tc>
        <w:tc>
          <w:tcPr>
            <w:tcW w:w="482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textAlignment w:val="center"/>
              <w:rPr>
                <w:rFonts w:hint="eastAsia" w:ascii="仿宋_GB2312" w:eastAsia="仿宋_GB2312"/>
                <w:b/>
                <w:bCs/>
                <w:color w:val="000000"/>
                <w:sz w:val="24"/>
                <w:szCs w:val="24"/>
              </w:rPr>
            </w:pPr>
            <w:r>
              <w:rPr>
                <w:rFonts w:hint="eastAsia" w:ascii="仿宋_GB2312" w:eastAsia="仿宋_GB2312"/>
                <w:b/>
                <w:bCs/>
                <w:color w:val="000000"/>
                <w:sz w:val="24"/>
                <w:szCs w:val="24"/>
              </w:rPr>
              <w:t>项目</w:t>
            </w:r>
          </w:p>
        </w:tc>
        <w:tc>
          <w:tcPr>
            <w:tcW w:w="198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rPr>
                <w:rFonts w:hint="eastAsia" w:ascii="仿宋_GB2312" w:hAnsi="Times New Roman" w:eastAsia="仿宋_GB2312"/>
                <w:b/>
                <w:bCs/>
                <w:color w:val="000000"/>
                <w:sz w:val="24"/>
                <w:szCs w:val="24"/>
              </w:rPr>
            </w:pPr>
            <w:r>
              <w:rPr>
                <w:rFonts w:hint="eastAsia" w:ascii="仿宋_GB2312" w:hAnsi="Times New Roman" w:eastAsia="仿宋_GB2312"/>
                <w:b/>
                <w:bCs/>
                <w:color w:val="000000"/>
                <w:sz w:val="24"/>
                <w:szCs w:val="24"/>
                <w:lang w:eastAsia="zh-CN"/>
              </w:rPr>
              <w:t>2022</w:t>
            </w:r>
            <w:r>
              <w:rPr>
                <w:rFonts w:hint="eastAsia" w:ascii="仿宋_GB2312" w:hAnsi="Times New Roman" w:eastAsia="仿宋_GB2312"/>
                <w:b/>
                <w:bCs/>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09" w:type="dxa"/>
            <w:vMerge w:val="restart"/>
            <w:tcBorders>
              <w:top w:val="nil"/>
              <w:left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马克思主义理论</w:t>
            </w:r>
          </w:p>
          <w:p>
            <w:pPr>
              <w:pageBreakBefore w:val="0"/>
              <w:kinsoku/>
              <w:wordWrap/>
              <w:overflowPunct/>
              <w:topLinePunct w:val="0"/>
              <w:autoSpaceDE/>
              <w:autoSpaceDN/>
              <w:bidi w:val="0"/>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（一级学科）</w:t>
            </w:r>
          </w:p>
        </w:tc>
        <w:tc>
          <w:tcPr>
            <w:tcW w:w="482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textAlignment w:val="center"/>
              <w:rPr>
                <w:rFonts w:hint="eastAsia" w:ascii="仿宋_GB2312" w:eastAsia="仿宋_GB2312"/>
                <w:color w:val="000000"/>
                <w:sz w:val="24"/>
                <w:szCs w:val="24"/>
              </w:rPr>
            </w:pPr>
            <w:r>
              <w:rPr>
                <w:rFonts w:hint="eastAsia" w:ascii="仿宋_GB2312" w:eastAsia="仿宋_GB2312"/>
                <w:color w:val="000000"/>
                <w:sz w:val="24"/>
                <w:szCs w:val="24"/>
              </w:rPr>
              <w:t>研究生招生人数</w:t>
            </w:r>
          </w:p>
        </w:tc>
        <w:tc>
          <w:tcPr>
            <w:tcW w:w="198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09"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hint="eastAsia" w:ascii="仿宋_GB2312" w:eastAsia="仿宋_GB2312"/>
                <w:color w:val="000000"/>
                <w:sz w:val="24"/>
                <w:szCs w:val="24"/>
              </w:rPr>
            </w:pPr>
          </w:p>
        </w:tc>
        <w:tc>
          <w:tcPr>
            <w:tcW w:w="482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textAlignment w:val="center"/>
              <w:rPr>
                <w:rFonts w:hint="eastAsia" w:ascii="仿宋_GB2312" w:eastAsia="仿宋_GB2312"/>
                <w:color w:val="000000"/>
                <w:sz w:val="24"/>
                <w:szCs w:val="24"/>
              </w:rPr>
            </w:pPr>
            <w:r>
              <w:rPr>
                <w:rFonts w:hint="eastAsia" w:ascii="仿宋_GB2312" w:eastAsia="仿宋_GB2312"/>
                <w:color w:val="000000"/>
                <w:sz w:val="24"/>
                <w:szCs w:val="24"/>
              </w:rPr>
              <w:t>其中：全日制招生人数</w:t>
            </w:r>
          </w:p>
        </w:tc>
        <w:tc>
          <w:tcPr>
            <w:tcW w:w="198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09"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hint="eastAsia" w:ascii="仿宋_GB2312" w:eastAsia="仿宋_GB2312"/>
                <w:color w:val="000000"/>
                <w:sz w:val="24"/>
                <w:szCs w:val="24"/>
              </w:rPr>
            </w:pPr>
          </w:p>
        </w:tc>
        <w:tc>
          <w:tcPr>
            <w:tcW w:w="482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textAlignment w:val="center"/>
              <w:rPr>
                <w:rFonts w:hint="eastAsia" w:ascii="仿宋_GB2312" w:eastAsia="仿宋_GB2312"/>
                <w:color w:val="000000"/>
                <w:sz w:val="24"/>
                <w:szCs w:val="24"/>
              </w:rPr>
            </w:pPr>
            <w:r>
              <w:rPr>
                <w:rFonts w:hint="eastAsia" w:ascii="仿宋_GB2312" w:eastAsia="仿宋_GB2312"/>
                <w:color w:val="000000"/>
                <w:sz w:val="24"/>
                <w:szCs w:val="24"/>
              </w:rPr>
              <w:t>非全日制招生人数</w:t>
            </w:r>
          </w:p>
        </w:tc>
        <w:tc>
          <w:tcPr>
            <w:tcW w:w="198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09"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hint="eastAsia" w:ascii="仿宋_GB2312" w:eastAsia="仿宋_GB2312"/>
                <w:color w:val="000000"/>
                <w:sz w:val="24"/>
                <w:szCs w:val="24"/>
              </w:rPr>
            </w:pPr>
          </w:p>
        </w:tc>
        <w:tc>
          <w:tcPr>
            <w:tcW w:w="482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textAlignment w:val="center"/>
              <w:rPr>
                <w:rFonts w:hint="eastAsia" w:ascii="仿宋_GB2312" w:eastAsia="仿宋_GB2312"/>
                <w:color w:val="000000"/>
                <w:sz w:val="24"/>
                <w:szCs w:val="24"/>
              </w:rPr>
            </w:pPr>
            <w:r>
              <w:rPr>
                <w:rFonts w:hint="eastAsia" w:ascii="仿宋_GB2312" w:eastAsia="仿宋_GB2312"/>
                <w:color w:val="000000"/>
                <w:sz w:val="24"/>
                <w:szCs w:val="24"/>
              </w:rPr>
              <w:t>招录学生中本科推免生人数</w:t>
            </w:r>
          </w:p>
        </w:tc>
        <w:tc>
          <w:tcPr>
            <w:tcW w:w="198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09"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hint="eastAsia" w:ascii="仿宋_GB2312" w:eastAsia="仿宋_GB2312"/>
                <w:color w:val="000000"/>
                <w:sz w:val="24"/>
                <w:szCs w:val="24"/>
              </w:rPr>
            </w:pPr>
          </w:p>
        </w:tc>
        <w:tc>
          <w:tcPr>
            <w:tcW w:w="482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textAlignment w:val="center"/>
              <w:rPr>
                <w:rFonts w:hint="eastAsia" w:ascii="仿宋_GB2312" w:eastAsia="仿宋_GB2312"/>
                <w:color w:val="000000"/>
                <w:sz w:val="24"/>
                <w:szCs w:val="24"/>
              </w:rPr>
            </w:pPr>
            <w:r>
              <w:rPr>
                <w:rFonts w:hint="eastAsia" w:ascii="仿宋_GB2312" w:eastAsia="仿宋_GB2312"/>
                <w:color w:val="000000"/>
                <w:sz w:val="24"/>
                <w:szCs w:val="24"/>
              </w:rPr>
              <w:t>招录学生中普通招考人数</w:t>
            </w:r>
          </w:p>
        </w:tc>
        <w:tc>
          <w:tcPr>
            <w:tcW w:w="198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pageBreakBefore w:val="0"/>
              <w:kinsoku/>
              <w:wordWrap/>
              <w:overflowPunct/>
              <w:topLinePunct w:val="0"/>
              <w:autoSpaceDE/>
              <w:autoSpaceDN/>
              <w:bidi w:val="0"/>
              <w:spacing w:line="560" w:lineRule="exac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62</w:t>
            </w:r>
          </w:p>
        </w:tc>
      </w:tr>
    </w:tbl>
    <w:p>
      <w:pPr>
        <w:pStyle w:val="2"/>
        <w:pageBreakBefore w:val="0"/>
        <w:kinsoku/>
        <w:wordWrap/>
        <w:overflowPunct/>
        <w:topLinePunct w:val="0"/>
        <w:autoSpaceDE/>
        <w:autoSpaceDN/>
        <w:bidi w:val="0"/>
        <w:adjustRightInd w:val="0"/>
        <w:snapToGrid w:val="0"/>
        <w:spacing w:before="120" w:after="120" w:line="560" w:lineRule="exact"/>
        <w:ind w:firstLine="643" w:firstLineChars="200"/>
        <w:jc w:val="left"/>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4.</w:t>
      </w:r>
      <w:r>
        <w:rPr>
          <w:rFonts w:hint="eastAsia" w:ascii="仿宋_GB2312" w:hAnsi="黑体" w:eastAsia="仿宋_GB2312" w:cs="黑体"/>
          <w:b/>
          <w:bCs w:val="0"/>
          <w:sz w:val="32"/>
          <w:szCs w:val="32"/>
        </w:rPr>
        <w:t>课程教学</w:t>
      </w:r>
    </w:p>
    <w:p>
      <w:pPr>
        <w:pageBreakBefore w:val="0"/>
        <w:kinsoku/>
        <w:wordWrap/>
        <w:overflowPunct/>
        <w:topLinePunct w:val="0"/>
        <w:autoSpaceDE/>
        <w:autoSpaceDN/>
        <w:bidi w:val="0"/>
        <w:spacing w:line="560" w:lineRule="exact"/>
        <w:ind w:firstLine="640" w:firstLineChars="200"/>
        <w:jc w:val="left"/>
        <w:rPr>
          <w:rFonts w:hint="eastAsia" w:ascii="仿宋_GB2312" w:hAnsi="黑体" w:eastAsia="仿宋_GB2312" w:cs="黑体"/>
          <w:bCs/>
          <w:kern w:val="2"/>
          <w:sz w:val="32"/>
          <w:szCs w:val="32"/>
          <w:lang w:val="en-US" w:eastAsia="zh-CN" w:bidi="ar-SA"/>
        </w:rPr>
      </w:pPr>
      <w:r>
        <w:rPr>
          <w:rFonts w:hint="eastAsia" w:ascii="仿宋_GB2312" w:hAnsi="黑体" w:eastAsia="仿宋_GB2312" w:cs="黑体"/>
          <w:bCs/>
          <w:kern w:val="2"/>
          <w:sz w:val="32"/>
          <w:szCs w:val="32"/>
          <w:lang w:val="en-US" w:eastAsia="zh-CN" w:bidi="ar-SA"/>
        </w:rPr>
        <w:t>按照马克思主义理论学科研究生培养方案的要求，本学位点开设了包括学位课、必修课、选修课在内的系列课程，由教学经验丰富的教师承担。为把好教学关，确保研究生课程教学质量，学院定期组织有关教师召开备课会，大家分享经验做法，取长补短，共同提高；校研究生院成立了研究生课程教学质量督导小组，不定期到教师的课堂进行听课，并把意见和建议反馈给教师，以利不断改进。</w:t>
      </w:r>
    </w:p>
    <w:p>
      <w:pPr>
        <w:pStyle w:val="2"/>
        <w:pageBreakBefore w:val="0"/>
        <w:kinsoku/>
        <w:wordWrap/>
        <w:overflowPunct/>
        <w:topLinePunct w:val="0"/>
        <w:autoSpaceDE/>
        <w:autoSpaceDN/>
        <w:bidi w:val="0"/>
        <w:adjustRightInd w:val="0"/>
        <w:snapToGrid w:val="0"/>
        <w:spacing w:before="120" w:after="120" w:line="560" w:lineRule="exact"/>
        <w:jc w:val="center"/>
        <w:rPr>
          <w:rFonts w:hint="eastAsia" w:ascii="Times New Roman" w:hAnsi="Times New Roman" w:cs="Times New Roman"/>
          <w:b/>
          <w:bCs w:val="0"/>
          <w:kern w:val="2"/>
          <w:sz w:val="28"/>
          <w:szCs w:val="28"/>
        </w:rPr>
      </w:pPr>
      <w:r>
        <w:rPr>
          <w:rFonts w:hint="eastAsia" w:ascii="Times New Roman" w:hAnsi="Times New Roman" w:cs="Times New Roman"/>
          <w:b/>
          <w:bCs w:val="0"/>
          <w:kern w:val="2"/>
          <w:sz w:val="28"/>
          <w:szCs w:val="28"/>
        </w:rPr>
        <w:t>2</w:t>
      </w:r>
      <w:r>
        <w:rPr>
          <w:rFonts w:ascii="Times New Roman" w:hAnsi="Times New Roman" w:cs="Times New Roman"/>
          <w:b/>
          <w:bCs w:val="0"/>
          <w:kern w:val="2"/>
          <w:sz w:val="28"/>
          <w:szCs w:val="28"/>
        </w:rPr>
        <w:t>02</w:t>
      </w:r>
      <w:r>
        <w:rPr>
          <w:rFonts w:hint="eastAsia" w:ascii="Times New Roman" w:hAnsi="Times New Roman" w:cs="Times New Roman"/>
          <w:b/>
          <w:bCs w:val="0"/>
          <w:kern w:val="2"/>
          <w:sz w:val="28"/>
          <w:szCs w:val="28"/>
          <w:lang w:val="en-US" w:eastAsia="zh-CN"/>
        </w:rPr>
        <w:t>2</w:t>
      </w:r>
      <w:r>
        <w:rPr>
          <w:rFonts w:hint="eastAsia" w:ascii="Times New Roman" w:hAnsi="Times New Roman" w:cs="Times New Roman"/>
          <w:b/>
          <w:bCs w:val="0"/>
          <w:kern w:val="2"/>
          <w:sz w:val="28"/>
          <w:szCs w:val="28"/>
        </w:rPr>
        <w:t>年开设课程情况</w:t>
      </w:r>
    </w:p>
    <w:tbl>
      <w:tblPr>
        <w:tblStyle w:val="6"/>
        <w:tblW w:w="9555"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678"/>
        <w:gridCol w:w="1275"/>
        <w:gridCol w:w="930"/>
        <w:gridCol w:w="150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eastAsia="仿宋_GB2312" w:cs="Arial"/>
                <w:sz w:val="24"/>
                <w:szCs w:val="24"/>
              </w:rPr>
            </w:pPr>
            <w:r>
              <w:rPr>
                <w:rFonts w:hint="eastAsia" w:ascii="仿宋_GB2312" w:eastAsia="仿宋_GB2312" w:cs="Arial"/>
                <w:sz w:val="24"/>
                <w:szCs w:val="24"/>
              </w:rPr>
              <w:t>序号</w:t>
            </w:r>
          </w:p>
        </w:tc>
        <w:tc>
          <w:tcPr>
            <w:tcW w:w="3678" w:type="dxa"/>
            <w:noWrap/>
            <w:vAlign w:val="center"/>
          </w:tcPr>
          <w:p>
            <w:pPr>
              <w:pageBreakBefore w:val="0"/>
              <w:kinsoku/>
              <w:wordWrap/>
              <w:overflowPunct/>
              <w:topLinePunct w:val="0"/>
              <w:autoSpaceDE/>
              <w:autoSpaceDN/>
              <w:bidi w:val="0"/>
              <w:spacing w:line="240" w:lineRule="auto"/>
              <w:jc w:val="center"/>
              <w:rPr>
                <w:rFonts w:hint="eastAsia" w:ascii="仿宋_GB2312" w:eastAsia="仿宋_GB2312" w:cs="Arial"/>
                <w:sz w:val="24"/>
                <w:szCs w:val="24"/>
              </w:rPr>
            </w:pPr>
            <w:r>
              <w:rPr>
                <w:rFonts w:hint="eastAsia" w:ascii="仿宋_GB2312" w:eastAsia="仿宋_GB2312" w:cs="Arial"/>
                <w:sz w:val="24"/>
                <w:szCs w:val="24"/>
              </w:rPr>
              <w:t>课程名称</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eastAsia="仿宋_GB2312" w:cs="Arial"/>
                <w:sz w:val="24"/>
                <w:szCs w:val="24"/>
              </w:rPr>
            </w:pPr>
            <w:r>
              <w:rPr>
                <w:rFonts w:hint="eastAsia" w:ascii="仿宋_GB2312" w:eastAsia="仿宋_GB2312" w:cs="Arial"/>
                <w:sz w:val="24"/>
                <w:szCs w:val="24"/>
              </w:rPr>
              <w:t>课程类型</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eastAsia="仿宋_GB2312" w:cs="Arial"/>
                <w:sz w:val="24"/>
                <w:szCs w:val="24"/>
              </w:rPr>
            </w:pPr>
            <w:r>
              <w:rPr>
                <w:rFonts w:hint="eastAsia" w:ascii="仿宋_GB2312" w:eastAsia="仿宋_GB2312" w:cs="Arial"/>
                <w:sz w:val="24"/>
                <w:szCs w:val="24"/>
              </w:rPr>
              <w:t>学分</w:t>
            </w:r>
          </w:p>
        </w:tc>
        <w:tc>
          <w:tcPr>
            <w:tcW w:w="1500" w:type="dxa"/>
            <w:noWrap/>
            <w:vAlign w:val="center"/>
          </w:tcPr>
          <w:p>
            <w:pPr>
              <w:pageBreakBefore w:val="0"/>
              <w:kinsoku/>
              <w:wordWrap/>
              <w:overflowPunct/>
              <w:topLinePunct w:val="0"/>
              <w:autoSpaceDE/>
              <w:autoSpaceDN/>
              <w:bidi w:val="0"/>
              <w:spacing w:line="240" w:lineRule="auto"/>
              <w:jc w:val="center"/>
              <w:rPr>
                <w:rFonts w:hint="eastAsia" w:ascii="仿宋_GB2312" w:eastAsia="仿宋_GB2312" w:cs="Arial"/>
                <w:sz w:val="24"/>
                <w:szCs w:val="24"/>
              </w:rPr>
            </w:pPr>
            <w:r>
              <w:rPr>
                <w:rFonts w:hint="eastAsia" w:ascii="仿宋_GB2312" w:eastAsia="仿宋_GB2312" w:cs="Arial"/>
                <w:sz w:val="24"/>
                <w:szCs w:val="24"/>
              </w:rPr>
              <w:t>授课教师</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eastAsia="仿宋_GB2312" w:cs="Arial"/>
                <w:sz w:val="24"/>
                <w:szCs w:val="24"/>
              </w:rPr>
            </w:pPr>
            <w:r>
              <w:rPr>
                <w:rFonts w:hint="eastAsia" w:ascii="仿宋_GB2312" w:eastAsia="仿宋_GB2312" w:cs="Arial"/>
                <w:sz w:val="24"/>
                <w:szCs w:val="24"/>
              </w:rPr>
              <w:t>授课语言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1</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思想政治教育学原理与方法</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学位课</w:t>
            </w:r>
          </w:p>
        </w:tc>
        <w:tc>
          <w:tcPr>
            <w:tcW w:w="93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刘新玲</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马克思主义经典著作选读</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学位课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李宝艳</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3</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马克思主义与中国现代化研究</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学位课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郑元景</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4</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马克思主义基本原理专题研究</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学位课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郑元景</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5</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马克思主义发展史</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学位课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林贤明</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6</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马克思主义与社会科学方法论</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学位课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1</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谭文华</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7</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中国特色社会主义理论与实践</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学位课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蔡光明</w:t>
            </w:r>
          </w:p>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于峰</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8</w:t>
            </w:r>
          </w:p>
        </w:tc>
        <w:tc>
          <w:tcPr>
            <w:tcW w:w="3678"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专业英语</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学位课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1</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邓龙九</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英文，中文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9</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中国特色社会主义理论体系专题研究</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必修课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郑传芳</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10</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马克思主义理论前沿问题研究</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必修课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刘新玲</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11</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当代中国社会思潮</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必修课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刘淑兰</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12</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习近平新时代中国特色社会主义思想专题研究</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rPr>
              <w:t>必修课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rPr>
              <w:t>刘新玲</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3</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习近平总书记关于教育重要论述研究</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必修课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1</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黄敏</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4</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论文写作指导</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必修课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1</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郑兴明</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5</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习近平生态文明思想概论</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选修课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罗贤宇</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6</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马克思主义中国化专题研究</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选修课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李文生</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7</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当代中国经济专题研究</w:t>
            </w:r>
          </w:p>
        </w:tc>
        <w:tc>
          <w:tcPr>
            <w:tcW w:w="1275"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选修课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郑兴明</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8</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国外马克思主义前沿问题研究</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选修课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陈芳芳</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9</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思想政治教育心理学</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选修课</w:t>
            </w:r>
          </w:p>
        </w:tc>
        <w:tc>
          <w:tcPr>
            <w:tcW w:w="93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詹</w:t>
            </w:r>
            <w:r>
              <w:rPr>
                <w:rFonts w:hint="eastAsia" w:ascii="微软雅黑" w:hAnsi="微软雅黑" w:eastAsia="微软雅黑" w:cs="微软雅黑"/>
                <w:sz w:val="24"/>
                <w:szCs w:val="24"/>
              </w:rPr>
              <w:t>鋆</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20</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中国社会思想史</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选修课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李宝艳</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7"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2</w:t>
            </w:r>
            <w:r>
              <w:rPr>
                <w:rFonts w:hint="eastAsia" w:ascii="仿宋_GB2312" w:hAnsi="Times New Roman" w:eastAsia="仿宋_GB2312"/>
                <w:sz w:val="24"/>
                <w:szCs w:val="24"/>
                <w:lang w:val="en-US" w:eastAsia="zh-CN"/>
              </w:rPr>
              <w:t>1</w:t>
            </w:r>
          </w:p>
        </w:tc>
        <w:tc>
          <w:tcPr>
            <w:tcW w:w="3678"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科技政策与科技管理</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选修课</w:t>
            </w:r>
          </w:p>
        </w:tc>
        <w:tc>
          <w:tcPr>
            <w:tcW w:w="930"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1</w:t>
            </w:r>
          </w:p>
        </w:tc>
        <w:tc>
          <w:tcPr>
            <w:tcW w:w="1500" w:type="dxa"/>
            <w:noWrap/>
            <w:vAlign w:val="center"/>
          </w:tcPr>
          <w:p>
            <w:pPr>
              <w:pageBreakBefore w:val="0"/>
              <w:kinsoku/>
              <w:wordWrap/>
              <w:overflowPunct/>
              <w:topLinePunct w:val="0"/>
              <w:autoSpaceDE/>
              <w:autoSpaceDN/>
              <w:bidi w:val="0"/>
              <w:adjustRightInd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谭文华</w:t>
            </w:r>
          </w:p>
        </w:tc>
        <w:tc>
          <w:tcPr>
            <w:tcW w:w="1275" w:type="dxa"/>
            <w:noWrap/>
            <w:vAlign w:val="center"/>
          </w:tcPr>
          <w:p>
            <w:pPr>
              <w:pageBreakBefore w:val="0"/>
              <w:kinsoku/>
              <w:wordWrap/>
              <w:overflowPunct/>
              <w:topLinePunct w:val="0"/>
              <w:autoSpaceDE/>
              <w:autoSpaceDN/>
              <w:bidi w:val="0"/>
              <w:spacing w:line="24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中文</w:t>
            </w:r>
          </w:p>
        </w:tc>
      </w:tr>
    </w:tbl>
    <w:p>
      <w:pPr>
        <w:pStyle w:val="2"/>
        <w:pageBreakBefore w:val="0"/>
        <w:kinsoku/>
        <w:wordWrap/>
        <w:overflowPunct/>
        <w:topLinePunct w:val="0"/>
        <w:autoSpaceDE/>
        <w:autoSpaceDN/>
        <w:bidi w:val="0"/>
        <w:spacing w:line="560" w:lineRule="exact"/>
        <w:ind w:firstLine="643" w:firstLineChars="200"/>
        <w:jc w:val="left"/>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5.</w:t>
      </w:r>
      <w:r>
        <w:rPr>
          <w:rFonts w:hint="eastAsia" w:ascii="仿宋_GB2312" w:hAnsi="黑体" w:eastAsia="仿宋_GB2312" w:cs="黑体"/>
          <w:b/>
          <w:bCs w:val="0"/>
          <w:sz w:val="32"/>
          <w:szCs w:val="32"/>
        </w:rPr>
        <w:t>导师管理</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本学位点在加强导师管理方面，做了大量卓有成效的工作。一是严格贯彻落实导师管理制度。坚持以制度管人，将严格贯彻落实学校有关制度作为规范导师行为的基本举措，如落实《福建农林大学研究生指导教师招生资格认定与管理办法》、《研究生导师指导行为准则》、《关于深化新时代教师队伍建设改革的若干意见》、《福建农林大学教师职业行为负面清单及师德失范行为处理办法》等学校相关制度和文件精神，形成导师选聘、考核、奖惩等长效机制，并制定师德师风建设自查表，把师德师风表现作为评价导师的第一标准，实行师德师风一票否决制。</w:t>
      </w:r>
    </w:p>
    <w:p>
      <w:pPr>
        <w:pageBreakBefore w:val="0"/>
        <w:kinsoku/>
        <w:wordWrap/>
        <w:overflowPunct/>
        <w:topLinePunct w:val="0"/>
        <w:autoSpaceDE/>
        <w:autoSpaceDN/>
        <w:bidi w:val="0"/>
        <w:spacing w:line="560" w:lineRule="exact"/>
        <w:ind w:firstLine="640" w:firstLineChars="200"/>
        <w:jc w:val="both"/>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二是鼓励导师参加学校和学院举办的各种培训。本学位点所有在岗硕士生导师均参加了学校和学院举办各种形式的研究生导师培训，如全省2022年研究生导师培训会、学习习近平总书记关于研究生教育工作的重要批示指示精神导师专题培训会、“研究和阐释党的十九届六中全会精神”、“研究和阐释党的二十大精神”专家辅导会，等等。通过培训，既让导师对学校研究生培养的相关制度和要求有了更进一步的了解，也促进了导师为学、为师、为人等方面素养的提升。</w:t>
      </w:r>
    </w:p>
    <w:p>
      <w:pPr>
        <w:pageBreakBefore w:val="0"/>
        <w:kinsoku/>
        <w:wordWrap/>
        <w:overflowPunct/>
        <w:topLinePunct w:val="0"/>
        <w:autoSpaceDE/>
        <w:autoSpaceDN/>
        <w:bidi w:val="0"/>
        <w:spacing w:line="560" w:lineRule="exact"/>
        <w:ind w:firstLine="640" w:firstLineChars="200"/>
        <w:jc w:val="both"/>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三是以学科优势提升导师育人水平。依托学科建设、科研平台、社会实践等不断提升导师的科研育人水平，严格落实导师在研究生思政教育中“第一责任人”作用，导师对研究生的学习、研究、实践等实行全过程指导。同时，导师通过与研究生谈心、共度节日等形式，及时了解研究生心理动态，疏解其心理压力。</w:t>
      </w:r>
    </w:p>
    <w:p>
      <w:pPr>
        <w:pageBreakBefore w:val="0"/>
        <w:kinsoku/>
        <w:wordWrap/>
        <w:overflowPunct/>
        <w:topLinePunct w:val="0"/>
        <w:autoSpaceDE/>
        <w:autoSpaceDN/>
        <w:bidi w:val="0"/>
        <w:spacing w:line="560" w:lineRule="exact"/>
        <w:ind w:firstLine="643" w:firstLineChars="200"/>
        <w:jc w:val="left"/>
        <w:rPr>
          <w:rFonts w:hint="default" w:ascii="仿宋_GB2312" w:hAnsi="黑体" w:eastAsia="仿宋_GB2312" w:cs="黑体"/>
          <w:b/>
          <w:bCs w:val="0"/>
          <w:sz w:val="32"/>
          <w:szCs w:val="32"/>
          <w:lang w:val="en-US" w:eastAsia="zh-CN"/>
        </w:rPr>
      </w:pPr>
      <w:r>
        <w:rPr>
          <w:rFonts w:hint="eastAsia" w:ascii="仿宋_GB2312" w:hAnsi="黑体" w:eastAsia="仿宋_GB2312" w:cs="黑体"/>
          <w:b/>
          <w:bCs w:val="0"/>
          <w:sz w:val="32"/>
          <w:szCs w:val="32"/>
          <w:lang w:val="en-US" w:eastAsia="zh-CN"/>
        </w:rPr>
        <w:t>6.学术训练或实习实践</w:t>
      </w:r>
    </w:p>
    <w:p>
      <w:pPr>
        <w:pageBreakBefore w:val="0"/>
        <w:kinsoku/>
        <w:wordWrap/>
        <w:overflowPunct/>
        <w:topLinePunct w:val="0"/>
        <w:autoSpaceDE/>
        <w:autoSpaceDN/>
        <w:bidi w:val="0"/>
        <w:spacing w:line="560" w:lineRule="exact"/>
        <w:ind w:firstLine="640" w:firstLineChars="200"/>
        <w:jc w:val="left"/>
        <w:rPr>
          <w:rFonts w:hint="default"/>
          <w:lang w:val="en-US" w:eastAsia="zh-CN"/>
        </w:rPr>
      </w:pPr>
      <w:r>
        <w:rPr>
          <w:rFonts w:hint="eastAsia" w:ascii="仿宋_GB2312" w:hAnsi="黑体" w:eastAsia="仿宋_GB2312" w:cs="黑体"/>
          <w:bCs/>
          <w:sz w:val="32"/>
          <w:szCs w:val="32"/>
          <w:lang w:val="en-US" w:eastAsia="zh-CN"/>
        </w:rPr>
        <w:t>本学位点支持和鼓励研究生参加学术训练或实习实践，并取得了良好成效。一是定期开展并鼓励研究生参加各种形式的理论学习活动。近年来，通过读书社、沙龙、党课、“青马耕读”师生宣讲团等形式开办理论讲座200多场，推荐经典好书100多部；推动并辅导学生参与省“一‘马’当先”知识竞赛等并取得全省二等奖的好成绩。这些活动的开展，营造了良好学术氛围，增强了学生学术志趣。二是支持和鼓励研究生参加各类社会实践和征文活动。2022年，学院在校研究生获得省自然辩证法演讲征文、省暑期习近平福建足迹征文、校“强国有我青马说”等活动奖项20多人次，有效提升了学思并进、知行合一的能力。</w:t>
      </w:r>
    </w:p>
    <w:p>
      <w:pPr>
        <w:pageBreakBefore w:val="0"/>
        <w:kinsoku/>
        <w:wordWrap/>
        <w:overflowPunct/>
        <w:topLinePunct w:val="0"/>
        <w:autoSpaceDE/>
        <w:autoSpaceDN/>
        <w:bidi w:val="0"/>
        <w:spacing w:line="56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（四）质量监控</w:t>
      </w:r>
      <w:r>
        <w:rPr>
          <w:rFonts w:hint="eastAsia" w:ascii="仿宋_GB2312" w:hAnsi="仿宋" w:eastAsia="仿宋_GB2312" w:cs="仿宋"/>
          <w:sz w:val="32"/>
          <w:szCs w:val="32"/>
        </w:rPr>
        <w:t>：分流淘汰、学位论文、学风教育、就业发展</w:t>
      </w:r>
    </w:p>
    <w:p>
      <w:pPr>
        <w:pageBreakBefore w:val="0"/>
        <w:kinsoku/>
        <w:wordWrap/>
        <w:overflowPunct/>
        <w:topLinePunct w:val="0"/>
        <w:autoSpaceDE/>
        <w:autoSpaceDN/>
        <w:bidi w:val="0"/>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以国务院学位委员会颁布的研究生教育质量管理规定、学校研究生培养方案和考核办法为指导，学院制定了《马克思主义理论学科学术学位硕士研究培养方案》</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2022年修订</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，严格落实制度，强化质量管控，加强研究生教育质量监控体系建设。</w:t>
      </w:r>
    </w:p>
    <w:p>
      <w:pPr>
        <w:pageBreakBefore w:val="0"/>
        <w:kinsoku/>
        <w:wordWrap/>
        <w:overflowPunct/>
        <w:topLinePunct w:val="0"/>
        <w:autoSpaceDE/>
        <w:autoSpaceDN/>
        <w:bidi w:val="0"/>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1.优化分流淘汰机制。</w:t>
      </w:r>
      <w:r>
        <w:rPr>
          <w:rFonts w:hint="eastAsia" w:ascii="仿宋_GB2312" w:hAnsi="仿宋" w:eastAsia="仿宋_GB2312" w:cs="仿宋"/>
          <w:sz w:val="32"/>
          <w:szCs w:val="32"/>
        </w:rPr>
        <w:t>首先，完善硕士生选拔环节。选择资格考核环节作为突破口，以素质能力为基础的申请和考核相结合的选拔机制，充分利用笔试、面试、心理测试等考核方式对考生进行全方位考核。其次，完善中期淘汰分流退出机制。一般于第三学期举行中期考核，根据中期考核或复审的结论，考核结果为“不合格”的研究生，要终止攻读硕士学位，发给肄业证书。再次，强化淘汰与激励相结合。完善研究生奖学金、助学金政策，设立研究生创新基金项目，根据研究生学术研究成果、创新意识等进行综合考核，设置不同等级的奖学金标准，以激发研究生不断突破科研成果。最后，持续监管保证淘汰分流机制实施。学院网站公开实施分流淘汰的各个环节信息，学院学术委员会参与监管全过程，确保分流淘汰机制落实到位。</w:t>
      </w:r>
    </w:p>
    <w:p>
      <w:pPr>
        <w:pageBreakBefore w:val="0"/>
        <w:kinsoku/>
        <w:wordWrap/>
        <w:overflowPunct/>
        <w:topLinePunct w:val="0"/>
        <w:autoSpaceDE/>
        <w:autoSpaceDN/>
        <w:bidi w:val="0"/>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2.严格学位论文管理。</w:t>
      </w:r>
      <w:r>
        <w:rPr>
          <w:rFonts w:hint="eastAsia" w:ascii="仿宋_GB2312" w:hAnsi="仿宋" w:eastAsia="仿宋_GB2312" w:cs="仿宋"/>
          <w:sz w:val="32"/>
          <w:szCs w:val="32"/>
        </w:rPr>
        <w:t>首先，认真落实学院制定的研究生培养方案，监督培养计划执行，严格审核研究生培养各环节是否达到规定要求；其次，加强学位论文质量全过程管理，落实导师是研究生培养第一责任人的要求，严格把关学位论文研究工作、写作发表、学术水平和学术规范性，持续加强学术诚信教育，强化学术伦理和学术规范指导；再次，制订《马克思主义理论一级学科硕士学位授予标准》，明确学位论文规范、评阅规则和核查办法，真实体现研究生的学术能力与学术规范；最后，严格学位论文答辩管理，除依法律法规需要保密外，学位论文均严格实行公开答辩，答辩人员、时间、地点、程序安排及答辩委员会组成等信息均在学院网站公开，接受社会监督。同时，学院还建立了原始记录收集、整理、归档制度，严格规范档案管理，确保涉及学位论文开题、学位论文评阅、答辩、学位授予等重要记录的档案留存全面真实完整。</w:t>
      </w:r>
    </w:p>
    <w:p>
      <w:pPr>
        <w:pageBreakBefore w:val="0"/>
        <w:kinsoku/>
        <w:wordWrap/>
        <w:overflowPunct/>
        <w:topLinePunct w:val="0"/>
        <w:autoSpaceDE/>
        <w:autoSpaceDN/>
        <w:bidi w:val="0"/>
        <w:spacing w:line="56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sz w:val="32"/>
          <w:szCs w:val="32"/>
        </w:rPr>
        <w:t>3.强化学风建设教育。</w:t>
      </w:r>
      <w:r>
        <w:rPr>
          <w:rFonts w:hint="eastAsia" w:ascii="仿宋_GB2312" w:hAnsi="仿宋" w:eastAsia="仿宋_GB2312" w:cs="仿宋"/>
          <w:sz w:val="32"/>
          <w:szCs w:val="32"/>
        </w:rPr>
        <w:t>学风建设是提高教育教学质量的前提，是实现高校培育目标的重要条件，营造优良、淳厚的学风是贯彻落实党的教育方针的着力点。学院从实际出发积极开展强化规范、榜样教育、经验交流等各种活动，充分发挥学校获得全国文明校园、全国生态文明教育基地等平台资源，推动环境育人，全面助推学院学风建设新局面。学院加强顶层设计，完善制度规范，全面构建学风建设体系，夯实学风教育基础。一是系统化谋划。学院统筹教育教学各环节、人才培养各方面的育人资源和育人力量，从体制机制上抓学风教育；二是制度化规范。结合学院学科特色和工作实际，制定出台了研究生导师制度等管理制度,为开创学院学风建设新局面提供制度保证；三是项目化打造。开展学风教育专项活动，探索特色品牌项目引领，依托“名师工作室”，开展“读书会”“学术沙龙”“名师论坛”等系列学术文化教育主题活动。此外，重视学生实践教育，注重基层调研与理论宣讲相结合，让学生参与导师科研项目，围绕基层党的思想建设、乡村振兴、福建红色文化等开展深入社会调研，培养学生求实、务实作风。</w:t>
      </w:r>
    </w:p>
    <w:p>
      <w:pPr>
        <w:pageBreakBefore w:val="0"/>
        <w:kinsoku/>
        <w:wordWrap/>
        <w:overflowPunct/>
        <w:topLinePunct w:val="0"/>
        <w:autoSpaceDE/>
        <w:autoSpaceDN/>
        <w:bidi w:val="0"/>
        <w:spacing w:line="560" w:lineRule="exact"/>
        <w:ind w:firstLine="643" w:firstLineChars="200"/>
        <w:jc w:val="both"/>
        <w:rPr>
          <w:rFonts w:hint="eastAsia" w:ascii="仿宋_GB2312" w:hAnsi="仿宋" w:eastAsia="仿宋_GB2312" w:cs="仿宋"/>
          <w:sz w:val="32"/>
          <w:szCs w:val="32"/>
        </w:rPr>
      </w:pPr>
      <w:r>
        <w:rPr>
          <w:rFonts w:hint="eastAsia" w:ascii="仿宋_GB2312" w:hAnsi="仿宋" w:eastAsia="仿宋_GB2312" w:cs="仿宋"/>
          <w:b/>
          <w:sz w:val="32"/>
          <w:szCs w:val="32"/>
        </w:rPr>
        <w:t>4.促进学生就业发展。</w:t>
      </w:r>
      <w:r>
        <w:rPr>
          <w:rFonts w:hint="eastAsia" w:ascii="仿宋_GB2312" w:hAnsi="仿宋" w:eastAsia="仿宋_GB2312" w:cs="仿宋"/>
          <w:sz w:val="32"/>
          <w:szCs w:val="32"/>
        </w:rPr>
        <w:t>解决好学生的就业问题是学科发展的生命线。长期以来，学院以学科建设为抓手，努力培养一批具备能够较好运用马克思主义立场、观点和方法独立分析和解决现实问题的能力，成为能够胜任本学科相关的理论研究、教育教学、宣传和实际工作的专门人才。为了促进学生就业发展，学院将毕业生就业工作作为学科建设和人才培养的重要环节，把毕业生就业状况纳入学科建设评估体系中。按照学校统一部署，学院每年评选出两位“毕业生就业创业工作先进个人”，以此勉励研究生导师和相关教学管理人员为学生就业发展提供指导与服务。在重视学生就业导向下，我院立足学科优势抓就业升学，引导学生树立正确的就业择业观，近</w:t>
      </w:r>
      <w:r>
        <w:rPr>
          <w:rFonts w:hint="eastAsia" w:ascii="仿宋_GB2312" w:hAnsi="仿宋" w:eastAsia="仿宋_GB2312" w:cs="仿宋"/>
          <w:sz w:val="32"/>
          <w:szCs w:val="32"/>
          <w:lang w:val="en-US" w:eastAsia="zh-CN"/>
        </w:rPr>
        <w:t>两</w:t>
      </w:r>
      <w:r>
        <w:rPr>
          <w:rFonts w:hint="eastAsia" w:ascii="仿宋_GB2312" w:hAnsi="仿宋" w:eastAsia="仿宋_GB2312" w:cs="仿宋"/>
          <w:sz w:val="32"/>
          <w:szCs w:val="32"/>
        </w:rPr>
        <w:t>年研究生就业率</w:t>
      </w:r>
      <w:r>
        <w:rPr>
          <w:rFonts w:hint="eastAsia" w:ascii="仿宋_GB2312" w:hAnsi="仿宋" w:eastAsia="仿宋_GB2312" w:cs="仿宋"/>
          <w:sz w:val="32"/>
          <w:szCs w:val="32"/>
          <w:lang w:val="en-US" w:eastAsia="zh-CN"/>
        </w:rPr>
        <w:t>都是100%</w:t>
      </w:r>
      <w:r>
        <w:rPr>
          <w:rFonts w:hint="eastAsia" w:ascii="仿宋_GB2312" w:hAnsi="仿宋" w:eastAsia="仿宋_GB2312" w:cs="仿宋"/>
          <w:sz w:val="32"/>
          <w:szCs w:val="32"/>
        </w:rPr>
        <w:t>，为行政事业单位、社会团体和企业输送出一批优秀人才。</w:t>
      </w:r>
    </w:p>
    <w:p>
      <w:pPr>
        <w:pageBreakBefore w:val="0"/>
        <w:kinsoku/>
        <w:wordWrap/>
        <w:overflowPunct/>
        <w:topLinePunct w:val="0"/>
        <w:autoSpaceDE/>
        <w:autoSpaceDN/>
        <w:bidi w:val="0"/>
        <w:spacing w:line="560" w:lineRule="exact"/>
        <w:ind w:firstLine="643" w:firstLineChars="200"/>
        <w:jc w:val="left"/>
        <w:rPr>
          <w:rFonts w:hint="eastAsia" w:ascii="黑体" w:hAnsi="黑体" w:eastAsia="黑体"/>
          <w:b/>
          <w:bCs/>
          <w:sz w:val="32"/>
          <w:szCs w:val="32"/>
        </w:rPr>
      </w:pPr>
      <w:r>
        <w:rPr>
          <w:rFonts w:hint="eastAsia" w:ascii="黑体" w:hAnsi="黑体" w:eastAsia="黑体"/>
          <w:b/>
          <w:bCs/>
          <w:sz w:val="32"/>
          <w:szCs w:val="32"/>
        </w:rPr>
        <w:t>二、工作特色与成效</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体现本学位授权点的特色和人才培养水平，包含制度建设、立德树人、科教融合、产教融合、文化建设、质量保障体系建设等方面的工作举措和成效。</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（一）学位点建设特色及成效</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本学科特色：①地域资源独特。丰厚的红色文化资源、海峡两岸资源、为学科提供独特的滋养。②学术平台宽厚。福建省马克思主义中国化研究基地、共青团中央中国特色社会主义研究中心基地、教育部思想政治理论课教师研修基地</w:t>
      </w:r>
      <w:r>
        <w:rPr>
          <w:rFonts w:hint="eastAsia" w:ascii="仿宋_GB2312" w:hAnsi="仿宋" w:eastAsia="仿宋_GB2312" w:cs="仿宋"/>
          <w:sz w:val="32"/>
          <w:szCs w:val="32"/>
          <w:lang w:val="en-US" w:eastAsia="zh-CN"/>
        </w:rPr>
        <w:t>中共党史党建研究院</w:t>
      </w:r>
      <w:r>
        <w:rPr>
          <w:rFonts w:hint="eastAsia" w:ascii="仿宋_GB2312" w:hAnsi="仿宋" w:eastAsia="仿宋_GB2312" w:cs="仿宋"/>
          <w:sz w:val="32"/>
          <w:szCs w:val="32"/>
        </w:rPr>
        <w:t>等</w:t>
      </w:r>
      <w:r>
        <w:rPr>
          <w:rFonts w:hint="eastAsia" w:ascii="仿宋_GB2312" w:hAnsi="仿宋" w:eastAsia="仿宋_GB2312" w:cs="仿宋"/>
          <w:sz w:val="32"/>
          <w:szCs w:val="32"/>
          <w:lang w:val="en-US" w:eastAsia="zh-CN"/>
        </w:rPr>
        <w:t>平台</w:t>
      </w:r>
      <w:r>
        <w:rPr>
          <w:rFonts w:hint="eastAsia" w:ascii="仿宋_GB2312" w:hAnsi="仿宋" w:eastAsia="仿宋_GB2312" w:cs="仿宋"/>
          <w:sz w:val="32"/>
          <w:szCs w:val="32"/>
        </w:rPr>
        <w:t>，为学科发展提供</w:t>
      </w:r>
      <w:r>
        <w:rPr>
          <w:rFonts w:hint="eastAsia" w:ascii="仿宋_GB2312" w:hAnsi="仿宋" w:eastAsia="仿宋_GB2312" w:cs="仿宋"/>
          <w:sz w:val="32"/>
          <w:szCs w:val="32"/>
          <w:lang w:val="en-US" w:eastAsia="zh-CN"/>
        </w:rPr>
        <w:t>坚实</w:t>
      </w:r>
      <w:r>
        <w:rPr>
          <w:rFonts w:hint="eastAsia" w:ascii="仿宋_GB2312" w:hAnsi="仿宋" w:eastAsia="仿宋_GB2312" w:cs="仿宋"/>
          <w:sz w:val="32"/>
          <w:szCs w:val="32"/>
        </w:rPr>
        <w:t>支撑。③研究视角鲜明。作为农林高校的马克思主义理论学科，我们形成了“新民主主义革命时期党的思想建设史”、“城乡融合发展研究”、“青年思想政治教育研究”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党的意识形态领导力研究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生态文明建设研究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等</w:t>
      </w:r>
      <w:r>
        <w:rPr>
          <w:rFonts w:hint="eastAsia" w:ascii="仿宋_GB2312" w:hAnsi="仿宋" w:eastAsia="仿宋_GB2312" w:cs="仿宋"/>
          <w:sz w:val="32"/>
          <w:szCs w:val="32"/>
          <w:lang w:val="en-US" w:eastAsia="zh-CN"/>
        </w:rPr>
        <w:t>领域</w:t>
      </w:r>
      <w:r>
        <w:rPr>
          <w:rFonts w:hint="eastAsia" w:ascii="仿宋_GB2312" w:hAnsi="仿宋" w:eastAsia="仿宋_GB2312" w:cs="仿宋"/>
          <w:sz w:val="32"/>
          <w:szCs w:val="32"/>
        </w:rPr>
        <w:t>特色鲜明。</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依托本学科特色，本学位点建设方面注重“四个结合”，取得了一定成效。</w:t>
      </w:r>
    </w:p>
    <w:p>
      <w:pPr>
        <w:pageBreakBefore w:val="0"/>
        <w:kinsoku/>
        <w:wordWrap/>
        <w:overflowPunct/>
        <w:topLinePunct w:val="0"/>
        <w:autoSpaceDE/>
        <w:autoSpaceDN/>
        <w:bidi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（1）注重制度建设和质量保障体系相结合</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学科先后建立健全了领导工作责任制。加强</w:t>
      </w:r>
      <w:r>
        <w:rPr>
          <w:rFonts w:hint="eastAsia" w:ascii="仿宋_GB2312" w:hAnsi="仿宋" w:eastAsia="仿宋_GB2312" w:cs="仿宋"/>
          <w:sz w:val="32"/>
          <w:szCs w:val="32"/>
          <w:lang w:val="en-US" w:eastAsia="zh-CN"/>
        </w:rPr>
        <w:t>党委</w:t>
      </w:r>
      <w:r>
        <w:rPr>
          <w:rFonts w:hint="eastAsia" w:ascii="仿宋_GB2312" w:hAnsi="仿宋" w:eastAsia="仿宋_GB2312" w:cs="仿宋"/>
          <w:sz w:val="32"/>
          <w:szCs w:val="32"/>
        </w:rPr>
        <w:t>对学院工作全面领导，建立健全学院各项规章制度，把立德树人根本任务落到实处。以《研究生导师指导行为准则》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关于深化新时代教师队伍建设改革的若干意见》及学校相关文件精神不断强化师德建设；建立研究生培养全过程监督评价制度，提高研究生培养的质量。严格把控学位论文开题、中期检查、预答辩、送审、答辩等环节，建立学生自查、导师核查、学院检查全流程监督机制，确保学位论文质量。建立决策咨询支持体系。发挥教授委员会作用，在人才培养目标、培养方案、教学保障、资源共享和管理运行等方面，参与学院重大事项的决策咨询。完善民主管理监督机制。涉及学院重大原则、重大理念、重大决策、重大改革等问题，都要通过座谈会、研讨会等，充分听取各方面专家、代表意见，提交学院全体教职工充分讨论。这些制度的建立健全为研究生导师的师德师风建设、导师育人水平提升、研究生培养质量等方面都提供了重要</w:t>
      </w:r>
      <w:r>
        <w:rPr>
          <w:rFonts w:hint="eastAsia" w:ascii="仿宋_GB2312" w:hAnsi="仿宋" w:eastAsia="仿宋_GB2312" w:cs="仿宋"/>
          <w:sz w:val="32"/>
          <w:szCs w:val="32"/>
          <w:lang w:val="en-US" w:eastAsia="zh-CN"/>
        </w:rPr>
        <w:t>制度</w:t>
      </w:r>
      <w:r>
        <w:rPr>
          <w:rFonts w:hint="eastAsia" w:ascii="仿宋_GB2312" w:hAnsi="仿宋" w:eastAsia="仿宋_GB2312" w:cs="仿宋"/>
          <w:sz w:val="32"/>
          <w:szCs w:val="32"/>
        </w:rPr>
        <w:t>保障。</w:t>
      </w:r>
    </w:p>
    <w:p>
      <w:pPr>
        <w:pageBreakBefore w:val="0"/>
        <w:kinsoku/>
        <w:wordWrap/>
        <w:overflowPunct/>
        <w:topLinePunct w:val="0"/>
        <w:autoSpaceDE/>
        <w:autoSpaceDN/>
        <w:bidi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（2）注重理论宣讲与文化传承相结合</w:t>
      </w:r>
    </w:p>
    <w:p>
      <w:pPr>
        <w:pageBreakBefore w:val="0"/>
        <w:kinsoku/>
        <w:wordWrap/>
        <w:overflowPunct/>
        <w:topLinePunct w:val="0"/>
        <w:autoSpaceDE/>
        <w:autoSpaceDN/>
        <w:bidi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学科始终注重把深入基层宣传党的路线、方针、政策作为建设的基本任务之一，近2年来，围绕党的</w:t>
      </w:r>
      <w:bookmarkStart w:id="1" w:name="_GoBack"/>
      <w:bookmarkEnd w:id="1"/>
      <w:r>
        <w:rPr>
          <w:rFonts w:hint="eastAsia" w:ascii="仿宋_GB2312" w:hAnsi="仿宋" w:eastAsia="仿宋_GB2312" w:cs="仿宋"/>
          <w:sz w:val="32"/>
          <w:szCs w:val="32"/>
        </w:rPr>
        <w:t>十九届六中全会、福建省第十一次党代会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党的二十大</w:t>
      </w:r>
      <w:r>
        <w:rPr>
          <w:rFonts w:hint="eastAsia" w:ascii="仿宋_GB2312" w:hAnsi="仿宋" w:eastAsia="仿宋_GB2312" w:cs="仿宋"/>
          <w:sz w:val="32"/>
          <w:szCs w:val="32"/>
        </w:rPr>
        <w:t>等重要会议精神以及党史学习教育等重大活动，学科骨干教师深入机关、学校、企业、社区、乡镇等开展</w:t>
      </w:r>
      <w:r>
        <w:rPr>
          <w:rFonts w:hint="eastAsia" w:ascii="仿宋_GB2312" w:hAnsi="仿宋" w:eastAsia="仿宋_GB2312" w:cs="仿宋"/>
          <w:sz w:val="32"/>
          <w:szCs w:val="32"/>
          <w:lang w:val="en-US" w:eastAsia="zh-CN"/>
        </w:rPr>
        <w:t>线上线下</w:t>
      </w:r>
      <w:r>
        <w:rPr>
          <w:rFonts w:hint="eastAsia" w:ascii="仿宋_GB2312" w:hAnsi="仿宋" w:eastAsia="仿宋_GB2312" w:cs="仿宋"/>
          <w:sz w:val="32"/>
          <w:szCs w:val="32"/>
        </w:rPr>
        <w:t>的宣讲近100场，不仅宣传了党的创新理论，推进党的创新理论进基层、进大学生头脑。同时在宣讲中注意与地域特色相结合，尤其是将</w:t>
      </w:r>
      <w:r>
        <w:rPr>
          <w:rFonts w:hint="eastAsia" w:ascii="仿宋_GB2312" w:hAnsi="仿宋" w:eastAsia="仿宋_GB2312" w:cs="仿宋"/>
          <w:sz w:val="32"/>
          <w:szCs w:val="32"/>
          <w:lang w:val="en-US" w:eastAsia="zh-CN"/>
        </w:rPr>
        <w:t>党的最新理论成果、习近平福建足迹、</w:t>
      </w:r>
      <w:r>
        <w:rPr>
          <w:rFonts w:hint="eastAsia" w:ascii="仿宋_GB2312" w:hAnsi="仿宋" w:eastAsia="仿宋_GB2312" w:cs="仿宋"/>
          <w:sz w:val="32"/>
          <w:szCs w:val="32"/>
        </w:rPr>
        <w:t>福建地域特色的历史文化等融入课堂，讲好中国故事，讲好福建故事，营造了良好的文化氛围。</w:t>
      </w:r>
    </w:p>
    <w:p>
      <w:pPr>
        <w:pageBreakBefore w:val="0"/>
        <w:kinsoku/>
        <w:wordWrap/>
        <w:overflowPunct/>
        <w:topLinePunct w:val="0"/>
        <w:autoSpaceDE/>
        <w:autoSpaceDN/>
        <w:bidi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（3）注重科教融合和产教融合</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学科创新协同育人机制，推进院校内外优质资源转换为人才培养资源和优势，积极组织开展产教融合、科教融合。近两年来，产学合作协同无论在数量上还是质量上都实现了快速发展，共获批3项教育部产学合作协同育人项目；与智恒科技股份有限公司、中国太平洋保险福建分公司开展了校地党建共建学习交流活动并洽谈校企产学研合作具体事宜；与福建省革命历史纪念馆、福建省永泰县同安镇人民政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安溪县蓬莱镇、德化县国宝乡</w:t>
      </w:r>
      <w:r>
        <w:rPr>
          <w:rFonts w:hint="eastAsia" w:ascii="仿宋_GB2312" w:hAnsi="仿宋" w:eastAsia="仿宋_GB2312" w:cs="仿宋"/>
          <w:sz w:val="32"/>
          <w:szCs w:val="32"/>
        </w:rPr>
        <w:t>完成教学科研实践基地共建，初步打造了多主体协同育人的长效机制，构建了产教融合、科教融合、校企合作的良好生态。</w:t>
      </w:r>
    </w:p>
    <w:p>
      <w:pPr>
        <w:pageBreakBefore w:val="0"/>
        <w:kinsoku/>
        <w:wordWrap/>
        <w:overflowPunct/>
        <w:topLinePunct w:val="0"/>
        <w:autoSpaceDE/>
        <w:autoSpaceDN/>
        <w:bidi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（4）注重教师研修的理论、教学、实践相结合</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学科拥有全国高校思想政治理论课骨干教师社会实践研修基地，近年来我们不断优化基地建设格局，形成理论研修、教学研修、实践研修并重的全方位、立体化教师研修基地建设体系，进一步丰富思政课教师研修内容和形式，满足新时代思政课教师队伍建设需求，对暑期骨干教师进行培训服务，通过深入挖掘福建的红色革命文化资源、绿色生态资源、蓝色海洋资源、传统文化资源等，重点打造了五大具有福建地方特色、体现国家经济社会发展的现场教学点。近两年来，承办了教育部、各高校委托的培训活动，为来自100多所高校</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00多名思政课教师提供研修，产生广泛影响。</w:t>
      </w:r>
    </w:p>
    <w:p>
      <w:pPr>
        <w:pageBreakBefore w:val="0"/>
        <w:kinsoku/>
        <w:wordWrap/>
        <w:overflowPunct/>
        <w:topLinePunct w:val="0"/>
        <w:autoSpaceDE/>
        <w:autoSpaceDN/>
        <w:bidi w:val="0"/>
        <w:spacing w:line="560" w:lineRule="exact"/>
        <w:ind w:firstLine="643" w:firstLineChars="200"/>
        <w:jc w:val="left"/>
        <w:rPr>
          <w:rFonts w:hint="eastAsia" w:ascii="黑体" w:hAnsi="黑体" w:eastAsia="黑体"/>
          <w:b/>
          <w:bCs/>
          <w:sz w:val="32"/>
          <w:szCs w:val="32"/>
        </w:rPr>
      </w:pPr>
      <w:r>
        <w:rPr>
          <w:rFonts w:hint="eastAsia" w:ascii="黑体" w:hAnsi="黑体" w:eastAsia="黑体"/>
          <w:b/>
          <w:bCs/>
          <w:sz w:val="32"/>
          <w:szCs w:val="32"/>
          <w:lang w:eastAsia="zh-CN"/>
        </w:rPr>
        <w:t>三、</w:t>
      </w:r>
      <w:r>
        <w:rPr>
          <w:rFonts w:hint="eastAsia" w:ascii="黑体" w:hAnsi="黑体" w:eastAsia="黑体"/>
          <w:b/>
          <w:bCs/>
          <w:sz w:val="32"/>
          <w:szCs w:val="32"/>
        </w:rPr>
        <w:t>学位点建设存在的问题</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教师队伍内涵式发展不足，职称晋升学历提升压力大；学位点的发展潜力和后备力量还有待于进一步充实提升。</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面对马克思主义理论学科建设蓬勃发展的背景和趋势，全国高校对马克思主义理论学科高层次人才的需求持续</w:t>
      </w:r>
      <w:r>
        <w:rPr>
          <w:rFonts w:hint="eastAsia" w:ascii="仿宋_GB2312" w:hAnsi="仿宋" w:eastAsia="仿宋_GB2312" w:cs="仿宋"/>
          <w:sz w:val="32"/>
          <w:szCs w:val="32"/>
          <w:lang w:val="en-US" w:eastAsia="zh-CN"/>
        </w:rPr>
        <w:t>高涨</w:t>
      </w:r>
      <w:r>
        <w:rPr>
          <w:rFonts w:hint="eastAsia" w:ascii="仿宋_GB2312" w:hAnsi="仿宋" w:eastAsia="仿宋_GB2312" w:cs="仿宋"/>
          <w:sz w:val="32"/>
          <w:szCs w:val="32"/>
        </w:rPr>
        <w:t>，我校作为省属农林类院校且未设置一级博士点，在领军人才和优秀博士的引进和培育方面存在劣势和短板。</w:t>
      </w:r>
    </w:p>
    <w:p>
      <w:pPr>
        <w:pageBreakBefore w:val="0"/>
        <w:kinsoku/>
        <w:wordWrap/>
        <w:overflowPunct/>
        <w:topLinePunct w:val="0"/>
        <w:autoSpaceDE/>
        <w:autoSpaceDN/>
        <w:bidi w:val="0"/>
        <w:spacing w:line="560" w:lineRule="exact"/>
        <w:ind w:firstLine="643" w:firstLineChars="200"/>
        <w:jc w:val="left"/>
        <w:rPr>
          <w:rFonts w:hint="eastAsia" w:ascii="黑体" w:hAnsi="黑体" w:eastAsia="黑体"/>
          <w:b/>
          <w:bCs/>
          <w:sz w:val="32"/>
          <w:szCs w:val="32"/>
        </w:rPr>
      </w:pPr>
      <w:r>
        <w:rPr>
          <w:rFonts w:hint="eastAsia" w:ascii="黑体" w:hAnsi="黑体" w:eastAsia="黑体"/>
          <w:b/>
          <w:bCs/>
          <w:sz w:val="32"/>
          <w:szCs w:val="32"/>
          <w:lang w:eastAsia="zh-CN"/>
        </w:rPr>
        <w:t>四、</w:t>
      </w:r>
      <w:r>
        <w:rPr>
          <w:rFonts w:hint="eastAsia" w:ascii="黑体" w:hAnsi="黑体" w:eastAsia="黑体"/>
          <w:b/>
          <w:bCs/>
          <w:sz w:val="32"/>
          <w:szCs w:val="32"/>
        </w:rPr>
        <w:t>下一年度建设计划</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1、提升科学研究水平，取得研究成果新突破。围绕学院内涵式发展，不断优化科研运行和管理机制，健全科研考核评价、奖励制度，进一步明确科研考核评价奖励的指标和标准，实施高水平论文等科研成果特别奖励制度，充分调动广大教师参与科学研究的积极性，引导形成良好的学术氛围，促进科研可持续发展，取得新的成果和突破。（1）加强重大项目和成果培育，精心组织与策划国家社科基金重大项目培育和辅导工作，持续开展院级培育项目资助，大力支持教师申报高层次项目、奖项，发表高水平论文，出版高水平专著、教材的力度，争取获得高显示度的科研成果。（2）明确学科发展方向，凸显学科发展特色，聚焦党的建设、红色文化、生态文明、乡村振兴、助力学院特色发展和内涵发展，不断提高学院学科建设水平和学术影响力。（3）加强学科融合和科研团队建设，持续实施教师教学科研能力提升计划，持续推动传帮带指导制，构建结构合理的教学科研团队；鼓励和支持教师参加国内知名高校进修访学和在职攻读博士学位提升学历。    </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通过实施研究生人才培养质量提升“五大计划”，即设立研究生科研基金项目支持计划、研究生优秀学位论文院级培育计划、研究生思政教学能力提升计划、研究生优秀学术论文支持计划和研究生学术交流支持计划等，</w:t>
      </w:r>
      <w:r>
        <w:rPr>
          <w:rFonts w:hint="eastAsia" w:ascii="仿宋_GB2312" w:hAnsi="仿宋" w:eastAsia="仿宋_GB2312" w:cs="仿宋"/>
          <w:sz w:val="32"/>
          <w:szCs w:val="32"/>
          <w:lang w:val="en-US" w:eastAsia="zh-CN"/>
        </w:rPr>
        <w:t>力争</w:t>
      </w:r>
      <w:r>
        <w:rPr>
          <w:rFonts w:hint="eastAsia" w:ascii="仿宋_GB2312" w:hAnsi="仿宋" w:eastAsia="仿宋_GB2312" w:cs="仿宋"/>
          <w:sz w:val="32"/>
          <w:szCs w:val="32"/>
        </w:rPr>
        <w:t>在马克思主义理论后备人才培养上取得新进展。</w:t>
      </w:r>
    </w:p>
    <w:p>
      <w:pPr>
        <w:pageBreakBefore w:val="0"/>
        <w:kinsoku/>
        <w:wordWrap/>
        <w:overflowPunct/>
        <w:topLinePunct w:val="0"/>
        <w:autoSpaceDE/>
        <w:autoSpaceDN/>
        <w:bidi w:val="0"/>
        <w:spacing w:line="56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发挥学科和专业优势，积极提供社会服务。立足新时代中国特色社会主义鲜活实践，找准切入点、聚焦点、结合点，开展马克思主义学理阐释、理论宣传和咨政服务工作。鼓励和支持教师在主流媒体上刊发有说服力的理论文章，向社会传递正能量；积极组织教师围绕重大现实问题、重大理论问题和重大实践经验总结开展调研，提交相应调研报告；鼓励教师开展新时代新思想的宣讲活动，推动新思想在“进教材、进课堂、进学生头脑”的同时也要“进网络、进社区”；加强与地方政府、事业单位和企业的密切合作，搭建服务地方的平台，不断提升学院影响力和美誉度。</w:t>
      </w:r>
    </w:p>
    <w:p>
      <w:pPr>
        <w:pageBreakBefore w:val="0"/>
        <w:widowControl/>
        <w:numPr>
          <w:ilvl w:val="0"/>
          <w:numId w:val="0"/>
        </w:numPr>
        <w:kinsoku/>
        <w:wordWrap/>
        <w:overflowPunct/>
        <w:topLinePunct w:val="0"/>
        <w:autoSpaceDE/>
        <w:autoSpaceDN/>
        <w:bidi w:val="0"/>
        <w:adjustRightInd/>
        <w:snapToGrid/>
        <w:spacing w:line="560" w:lineRule="exact"/>
        <w:ind w:left="0" w:firstLine="0" w:firstLineChars="0"/>
        <w:jc w:val="left"/>
        <w:rPr>
          <w:rFonts w:hint="eastAsia" w:ascii="仿宋" w:hAnsi="仿宋" w:eastAsia="仿宋" w:cs="宋体"/>
          <w:bCs/>
          <w:color w:val="auto"/>
          <w:kern w:val="0"/>
          <w:sz w:val="30"/>
          <w:szCs w:val="30"/>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22252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F2CEC"/>
    <w:multiLevelType w:val="singleLevel"/>
    <w:tmpl w:val="C00F2CEC"/>
    <w:lvl w:ilvl="0" w:tentative="0">
      <w:start w:val="1"/>
      <w:numFmt w:val="chineseCounting"/>
      <w:suff w:val="nothing"/>
      <w:lvlText w:val="（%1）"/>
      <w:lvlJc w:val="left"/>
      <w:rPr>
        <w:rFonts w:hint="eastAsia"/>
      </w:rPr>
    </w:lvl>
  </w:abstractNum>
  <w:abstractNum w:abstractNumId="1">
    <w:nsid w:val="3970C458"/>
    <w:multiLevelType w:val="singleLevel"/>
    <w:tmpl w:val="3970C458"/>
    <w:lvl w:ilvl="0" w:tentative="0">
      <w:start w:val="1"/>
      <w:numFmt w:val="decimal"/>
      <w:lvlText w:val="%1."/>
      <w:lvlJc w:val="left"/>
      <w:pPr>
        <w:tabs>
          <w:tab w:val="left" w:pos="312"/>
        </w:tabs>
      </w:pPr>
    </w:lvl>
  </w:abstractNum>
  <w:abstractNum w:abstractNumId="2">
    <w:nsid w:val="5C0591D9"/>
    <w:multiLevelType w:val="singleLevel"/>
    <w:tmpl w:val="5C0591D9"/>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Q3NjQ3MzVlZTFkZDMxODdhNWM1YWE2YmY1ODgifQ=="/>
  </w:docVars>
  <w:rsids>
    <w:rsidRoot w:val="00F51B09"/>
    <w:rsid w:val="00041B7B"/>
    <w:rsid w:val="000773B0"/>
    <w:rsid w:val="00277E2F"/>
    <w:rsid w:val="002A5EE5"/>
    <w:rsid w:val="00300204"/>
    <w:rsid w:val="00337A7D"/>
    <w:rsid w:val="004C65B7"/>
    <w:rsid w:val="004F6957"/>
    <w:rsid w:val="00714B53"/>
    <w:rsid w:val="008300E1"/>
    <w:rsid w:val="008E48C2"/>
    <w:rsid w:val="00907F3C"/>
    <w:rsid w:val="00972AA3"/>
    <w:rsid w:val="00AC4F71"/>
    <w:rsid w:val="00BC5E33"/>
    <w:rsid w:val="00BD7985"/>
    <w:rsid w:val="00E419BA"/>
    <w:rsid w:val="00E73905"/>
    <w:rsid w:val="00E834C6"/>
    <w:rsid w:val="00EA1F09"/>
    <w:rsid w:val="00EA4CA9"/>
    <w:rsid w:val="00EB77F4"/>
    <w:rsid w:val="00EC6F0E"/>
    <w:rsid w:val="00F51B09"/>
    <w:rsid w:val="04475273"/>
    <w:rsid w:val="05881AB1"/>
    <w:rsid w:val="0A8D5EA4"/>
    <w:rsid w:val="0E4E384B"/>
    <w:rsid w:val="0ECF0FC3"/>
    <w:rsid w:val="0F8D11F9"/>
    <w:rsid w:val="116818F4"/>
    <w:rsid w:val="12810624"/>
    <w:rsid w:val="16D04116"/>
    <w:rsid w:val="173D2539"/>
    <w:rsid w:val="1AE824BB"/>
    <w:rsid w:val="1E5D33C9"/>
    <w:rsid w:val="1F453B6C"/>
    <w:rsid w:val="213A41AD"/>
    <w:rsid w:val="220D71DF"/>
    <w:rsid w:val="22215F56"/>
    <w:rsid w:val="26B80CF7"/>
    <w:rsid w:val="271A113C"/>
    <w:rsid w:val="2CFD6AAB"/>
    <w:rsid w:val="309C4B4F"/>
    <w:rsid w:val="31D16A7B"/>
    <w:rsid w:val="3207424B"/>
    <w:rsid w:val="33EE7D10"/>
    <w:rsid w:val="3BB371F1"/>
    <w:rsid w:val="3C281562"/>
    <w:rsid w:val="3DA908AC"/>
    <w:rsid w:val="40362E84"/>
    <w:rsid w:val="46D300B5"/>
    <w:rsid w:val="49A45354"/>
    <w:rsid w:val="4B390976"/>
    <w:rsid w:val="4B4813F7"/>
    <w:rsid w:val="570F30D6"/>
    <w:rsid w:val="57DC28DD"/>
    <w:rsid w:val="57E34B1C"/>
    <w:rsid w:val="5AB50438"/>
    <w:rsid w:val="5EEC0A66"/>
    <w:rsid w:val="60DA1323"/>
    <w:rsid w:val="619B4CED"/>
    <w:rsid w:val="62D24C3C"/>
    <w:rsid w:val="65A25A5D"/>
    <w:rsid w:val="68742170"/>
    <w:rsid w:val="697E1E97"/>
    <w:rsid w:val="6BFB1A23"/>
    <w:rsid w:val="6C532E82"/>
    <w:rsid w:val="6CF272CA"/>
    <w:rsid w:val="6D2C753D"/>
    <w:rsid w:val="6D494976"/>
    <w:rsid w:val="6EE80984"/>
    <w:rsid w:val="70F76C5D"/>
    <w:rsid w:val="713003C1"/>
    <w:rsid w:val="71EC078C"/>
    <w:rsid w:val="750550C7"/>
    <w:rsid w:val="76894F0E"/>
    <w:rsid w:val="78A57311"/>
    <w:rsid w:val="79ED28D7"/>
    <w:rsid w:val="7AD57D17"/>
    <w:rsid w:val="7AFE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50" w:beforeLines="50" w:after="50" w:afterLines="50" w:line="240" w:lineRule="auto"/>
      <w:outlineLvl w:val="2"/>
    </w:pPr>
    <w:rPr>
      <w:rFonts w:eastAsia="方正仿宋简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paragraph" w:styleId="10">
    <w:name w:val="List Paragraph"/>
    <w:basedOn w:val="1"/>
    <w:qFormat/>
    <w:uiPriority w:val="34"/>
    <w:pPr>
      <w:ind w:firstLine="420" w:firstLineChars="200"/>
    </w:pPr>
  </w:style>
  <w:style w:type="paragraph" w:customStyle="1" w:styleId="11">
    <w:name w:val="Fließtext"/>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9D32-61F2-45C3-8269-0DDC538F5636}">
  <ds:schemaRefs/>
</ds:datastoreItem>
</file>

<file path=docProps/app.xml><?xml version="1.0" encoding="utf-8"?>
<Properties xmlns="http://schemas.openxmlformats.org/officeDocument/2006/extended-properties" xmlns:vt="http://schemas.openxmlformats.org/officeDocument/2006/docPropsVTypes">
  <Template>Normal</Template>
  <Pages>20</Pages>
  <Words>10145</Words>
  <Characters>10280</Characters>
  <Lines>13</Lines>
  <Paragraphs>3</Paragraphs>
  <TotalTime>67</TotalTime>
  <ScaleCrop>false</ScaleCrop>
  <LinksUpToDate>false</LinksUpToDate>
  <CharactersWithSpaces>10297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HiWin81Up</dc:creator>
  <cp:lastModifiedBy>1</cp:lastModifiedBy>
  <cp:lastPrinted>2021-12-14T06:39:00Z</cp:lastPrinted>
  <dcterms:modified xsi:type="dcterms:W3CDTF">2023-09-24T06:44:45Z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5247071888AB45F190409BC38C29F3BF</vt:lpwstr>
  </property>
</Properties>
</file>