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sz w:val="48"/>
          <w:szCs w:val="56"/>
        </w:rPr>
      </w:pPr>
    </w:p>
    <w:p>
      <w:pPr>
        <w:rPr>
          <w:rFonts w:ascii="Times New Roman" w:hAnsi="Times New Roman" w:eastAsia="黑体"/>
          <w:sz w:val="48"/>
          <w:szCs w:val="56"/>
        </w:rPr>
      </w:pPr>
    </w:p>
    <w:p>
      <w:pPr>
        <w:jc w:val="center"/>
        <w:rPr>
          <w:rFonts w:ascii="Times New Roman" w:hAnsi="Times New Roman" w:eastAsia="黑体"/>
          <w:b/>
          <w:bCs/>
          <w:sz w:val="52"/>
          <w:szCs w:val="72"/>
        </w:rPr>
      </w:pPr>
      <w:r>
        <w:rPr>
          <w:rFonts w:ascii="Times New Roman" w:hAnsi="Times New Roman" w:eastAsia="黑体"/>
          <w:b/>
          <w:bCs/>
          <w:sz w:val="52"/>
          <w:szCs w:val="72"/>
        </w:rPr>
        <w:t>学位授权点建设年度报告</w:t>
      </w:r>
    </w:p>
    <w:p>
      <w:pPr>
        <w:spacing w:line="500" w:lineRule="exact"/>
        <w:jc w:val="center"/>
        <w:rPr>
          <w:rFonts w:ascii="Times New Roman" w:hAnsi="Times New Roman" w:eastAsia="楷体"/>
          <w:sz w:val="28"/>
          <w:szCs w:val="36"/>
        </w:rPr>
      </w:pPr>
      <w:r>
        <w:rPr>
          <w:rFonts w:ascii="Times New Roman" w:hAnsi="Times New Roman" w:eastAsia="楷体"/>
          <w:sz w:val="28"/>
          <w:szCs w:val="36"/>
        </w:rPr>
        <w:t>（2022年）</w:t>
      </w: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spacing w:line="500" w:lineRule="exact"/>
              <w:jc w:val="center"/>
              <w:rPr>
                <w:rFonts w:ascii="Times New Roman" w:hAnsi="Times New Roman" w:eastAsia="楷体"/>
                <w:sz w:val="28"/>
                <w:szCs w:val="36"/>
              </w:rPr>
            </w:pPr>
            <w:r>
              <w:rPr>
                <w:rFonts w:ascii="Times New Roman" w:hAnsi="Times New Roman" w:eastAsia="楷体"/>
                <w:sz w:val="28"/>
                <w:szCs w:val="36"/>
              </w:rPr>
              <w:t xml:space="preserve">               学位授予单位</w:t>
            </w:r>
          </w:p>
        </w:tc>
        <w:tc>
          <w:tcPr>
            <w:tcW w:w="2867" w:type="dxa"/>
            <w:shd w:val="clear" w:color="auto" w:fill="auto"/>
          </w:tcPr>
          <w:p>
            <w:pPr>
              <w:spacing w:line="500" w:lineRule="exact"/>
              <w:rPr>
                <w:rFonts w:ascii="Times New Roman" w:hAnsi="Times New Roman" w:eastAsia="楷体"/>
                <w:sz w:val="28"/>
                <w:szCs w:val="36"/>
              </w:rPr>
            </w:pPr>
            <w:r>
              <w:rPr>
                <w:rFonts w:ascii="Times New Roman" w:hAnsi="Times New Roman" w:eastAsia="楷体"/>
                <w:sz w:val="28"/>
                <w:szCs w:val="36"/>
              </w:rPr>
              <w:t>名称  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spacing w:line="500" w:lineRule="exact"/>
              <w:rPr>
                <w:rFonts w:ascii="Times New Roman" w:hAnsi="Times New Roman" w:eastAsia="楷体"/>
                <w:sz w:val="28"/>
                <w:szCs w:val="36"/>
              </w:rPr>
            </w:pPr>
          </w:p>
        </w:tc>
        <w:tc>
          <w:tcPr>
            <w:tcW w:w="2867" w:type="dxa"/>
            <w:shd w:val="clear" w:color="auto" w:fill="auto"/>
          </w:tcPr>
          <w:p>
            <w:pPr>
              <w:spacing w:line="500" w:lineRule="exact"/>
              <w:rPr>
                <w:rFonts w:ascii="Times New Roman" w:hAnsi="Times New Roman" w:eastAsia="楷体"/>
                <w:sz w:val="28"/>
                <w:szCs w:val="36"/>
              </w:rPr>
            </w:pPr>
            <w:r>
              <w:rPr>
                <w:rFonts w:ascii="Times New Roman" w:hAnsi="Times New Roman" w:eastAsia="楷体"/>
                <w:sz w:val="28"/>
                <w:szCs w:val="36"/>
              </w:rPr>
              <w:t>代码  10389</w:t>
            </w:r>
          </w:p>
        </w:tc>
      </w:tr>
    </w:tbl>
    <w:p>
      <w:pPr>
        <w:spacing w:line="500" w:lineRule="exact"/>
        <w:rPr>
          <w:rFonts w:ascii="Times New Roman" w:hAnsi="Times New Roman" w:eastAsia="楷体"/>
          <w:sz w:val="28"/>
          <w:szCs w:val="36"/>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3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spacing w:line="500" w:lineRule="exact"/>
              <w:jc w:val="center"/>
              <w:rPr>
                <w:rFonts w:ascii="Times New Roman" w:hAnsi="Times New Roman" w:eastAsia="楷体"/>
                <w:sz w:val="28"/>
                <w:szCs w:val="36"/>
              </w:rPr>
            </w:pPr>
            <w:r>
              <w:rPr>
                <w:rFonts w:ascii="Times New Roman" w:hAnsi="Times New Roman" w:eastAsia="楷体"/>
                <w:sz w:val="28"/>
                <w:szCs w:val="36"/>
              </w:rPr>
              <w:t xml:space="preserve">               授权学科</w:t>
            </w:r>
          </w:p>
          <w:p>
            <w:pPr>
              <w:spacing w:line="500" w:lineRule="exact"/>
              <w:jc w:val="center"/>
              <w:rPr>
                <w:rFonts w:ascii="Times New Roman" w:hAnsi="Times New Roman" w:eastAsia="楷体"/>
                <w:sz w:val="28"/>
                <w:szCs w:val="36"/>
              </w:rPr>
            </w:pPr>
            <w:r>
              <w:rPr>
                <w:rFonts w:ascii="Times New Roman" w:hAnsi="Times New Roman" w:eastAsia="楷体"/>
                <w:sz w:val="28"/>
                <w:szCs w:val="36"/>
              </w:rPr>
              <w:t xml:space="preserve">               （类别）</w:t>
            </w:r>
          </w:p>
        </w:tc>
        <w:tc>
          <w:tcPr>
            <w:tcW w:w="2332" w:type="dxa"/>
            <w:shd w:val="clear" w:color="auto" w:fill="auto"/>
          </w:tcPr>
          <w:p>
            <w:pPr>
              <w:spacing w:line="500" w:lineRule="exact"/>
              <w:rPr>
                <w:rFonts w:ascii="Times New Roman" w:hAnsi="Times New Roman" w:eastAsia="楷体"/>
                <w:sz w:val="28"/>
                <w:szCs w:val="36"/>
              </w:rPr>
            </w:pPr>
            <w:r>
              <w:rPr>
                <w:rFonts w:ascii="Times New Roman" w:hAnsi="Times New Roman" w:eastAsia="楷体"/>
                <w:sz w:val="28"/>
                <w:szCs w:val="36"/>
              </w:rPr>
              <w:t>名称 工商管理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spacing w:line="500" w:lineRule="exact"/>
              <w:rPr>
                <w:rFonts w:ascii="Times New Roman" w:hAnsi="Times New Roman" w:eastAsia="楷体"/>
                <w:sz w:val="28"/>
                <w:szCs w:val="36"/>
              </w:rPr>
            </w:pPr>
          </w:p>
        </w:tc>
        <w:tc>
          <w:tcPr>
            <w:tcW w:w="2332" w:type="dxa"/>
            <w:shd w:val="clear" w:color="auto" w:fill="auto"/>
          </w:tcPr>
          <w:p>
            <w:pPr>
              <w:spacing w:line="500" w:lineRule="exact"/>
              <w:rPr>
                <w:rFonts w:ascii="Times New Roman" w:hAnsi="Times New Roman" w:eastAsia="楷体"/>
                <w:sz w:val="28"/>
                <w:szCs w:val="36"/>
              </w:rPr>
            </w:pPr>
            <w:r>
              <w:rPr>
                <w:rFonts w:ascii="Times New Roman" w:hAnsi="Times New Roman" w:eastAsia="楷体"/>
                <w:sz w:val="28"/>
                <w:szCs w:val="36"/>
              </w:rPr>
              <w:t>代码  1202</w:t>
            </w:r>
          </w:p>
        </w:tc>
      </w:tr>
    </w:tbl>
    <w:p>
      <w:pPr>
        <w:spacing w:line="500" w:lineRule="exact"/>
        <w:rPr>
          <w:rFonts w:ascii="Times New Roman" w:hAnsi="Times New Roman" w:eastAsia="楷体"/>
          <w:sz w:val="28"/>
          <w:szCs w:val="36"/>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spacing w:line="500" w:lineRule="exact"/>
              <w:jc w:val="center"/>
              <w:rPr>
                <w:rFonts w:ascii="Times New Roman" w:hAnsi="Times New Roman" w:eastAsia="楷体"/>
                <w:sz w:val="28"/>
                <w:szCs w:val="36"/>
              </w:rPr>
            </w:pPr>
            <w:r>
              <w:rPr>
                <w:rFonts w:ascii="Times New Roman" w:hAnsi="Times New Roman" w:eastAsia="楷体"/>
                <w:sz w:val="28"/>
                <w:szCs w:val="36"/>
              </w:rPr>
              <w:t xml:space="preserve">               授权级别</w:t>
            </w:r>
          </w:p>
        </w:tc>
        <w:tc>
          <w:tcPr>
            <w:tcW w:w="2347" w:type="dxa"/>
            <w:shd w:val="clear" w:color="auto" w:fill="auto"/>
          </w:tcPr>
          <w:p>
            <w:pPr>
              <w:spacing w:line="500" w:lineRule="exact"/>
              <w:rPr>
                <w:rFonts w:ascii="Times New Roman" w:hAnsi="Times New Roman" w:eastAsia="楷体"/>
                <w:sz w:val="28"/>
                <w:szCs w:val="36"/>
              </w:rPr>
            </w:pPr>
            <w:r>
              <w:rPr>
                <w:rFonts w:ascii="Times New Roman" w:hAnsi="Times New Roman" w:eastAsia="楷体"/>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spacing w:line="500" w:lineRule="exact"/>
              <w:rPr>
                <w:rFonts w:ascii="Times New Roman" w:hAnsi="Times New Roman" w:eastAsia="楷体"/>
                <w:sz w:val="28"/>
                <w:szCs w:val="36"/>
              </w:rPr>
            </w:pPr>
          </w:p>
        </w:tc>
        <w:tc>
          <w:tcPr>
            <w:tcW w:w="2347" w:type="dxa"/>
            <w:shd w:val="clear" w:color="auto" w:fill="auto"/>
          </w:tcPr>
          <w:p>
            <w:pPr>
              <w:spacing w:line="500" w:lineRule="exact"/>
              <w:rPr>
                <w:rFonts w:ascii="Times New Roman" w:hAnsi="Times New Roman" w:eastAsia="楷体"/>
                <w:sz w:val="28"/>
                <w:szCs w:val="36"/>
              </w:rPr>
            </w:pPr>
            <w:r>
              <w:rPr>
                <w:rFonts w:ascii="Times New Roman" w:hAnsi="Times New Roman" w:eastAsia="楷体"/>
                <w:sz w:val="28"/>
                <w:szCs w:val="36"/>
              </w:rPr>
              <w:sym w:font="Wingdings 2" w:char="F052"/>
            </w:r>
            <w:r>
              <w:rPr>
                <w:rFonts w:ascii="Times New Roman" w:hAnsi="Times New Roman" w:eastAsia="楷体"/>
                <w:sz w:val="28"/>
                <w:szCs w:val="36"/>
              </w:rPr>
              <w:t xml:space="preserve"> 硕士</w:t>
            </w:r>
          </w:p>
        </w:tc>
      </w:tr>
    </w:tbl>
    <w:p>
      <w:pPr>
        <w:spacing w:line="500" w:lineRule="exact"/>
        <w:rPr>
          <w:rFonts w:ascii="Times New Roman" w:hAnsi="Times New Roman" w:eastAsia="楷体"/>
          <w:sz w:val="28"/>
          <w:szCs w:val="36"/>
        </w:rPr>
      </w:pPr>
    </w:p>
    <w:p>
      <w:pPr>
        <w:spacing w:line="500" w:lineRule="exact"/>
        <w:jc w:val="center"/>
        <w:rPr>
          <w:rFonts w:ascii="Times New Roman" w:hAnsi="Times New Roman" w:eastAsia="楷体"/>
          <w:sz w:val="36"/>
          <w:szCs w:val="44"/>
        </w:rPr>
      </w:pPr>
    </w:p>
    <w:p>
      <w:pPr>
        <w:spacing w:line="500" w:lineRule="exact"/>
        <w:jc w:val="center"/>
        <w:rPr>
          <w:rFonts w:ascii="Times New Roman" w:hAnsi="Times New Roman" w:eastAsia="楷体"/>
          <w:sz w:val="28"/>
          <w:szCs w:val="36"/>
        </w:rPr>
      </w:pPr>
      <w:r>
        <w:rPr>
          <w:rFonts w:ascii="Times New Roman" w:hAnsi="Times New Roman" w:eastAsia="楷体"/>
          <w:sz w:val="28"/>
          <w:szCs w:val="36"/>
        </w:rPr>
        <w:t>2022年12月</w:t>
      </w:r>
      <w:r>
        <w:rPr>
          <w:rFonts w:hint="eastAsia" w:ascii="Times New Roman" w:hAnsi="Times New Roman" w:eastAsia="楷体"/>
          <w:sz w:val="28"/>
          <w:szCs w:val="36"/>
          <w:lang w:val="en-US" w:eastAsia="zh-CN"/>
        </w:rPr>
        <w:t>3</w:t>
      </w:r>
      <w:bookmarkStart w:id="1" w:name="_GoBack"/>
      <w:bookmarkEnd w:id="1"/>
      <w:r>
        <w:rPr>
          <w:rFonts w:ascii="Times New Roman" w:hAnsi="Times New Roman" w:eastAsia="楷体"/>
          <w:sz w:val="28"/>
          <w:szCs w:val="36"/>
        </w:rPr>
        <w:t>0日</w:t>
      </w: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p>
      <w:pPr>
        <w:spacing w:line="500" w:lineRule="exact"/>
        <w:rPr>
          <w:rFonts w:ascii="Times New Roman" w:hAnsi="Times New Roman"/>
        </w:rPr>
      </w:pPr>
    </w:p>
    <w:p>
      <w:pPr>
        <w:snapToGrid w:val="0"/>
        <w:spacing w:after="312" w:afterLines="100" w:line="500" w:lineRule="exact"/>
        <w:ind w:firstLine="720" w:firstLineChars="200"/>
        <w:jc w:val="center"/>
        <w:rPr>
          <w:rFonts w:ascii="Times New Roman" w:hAnsi="Times New Roman" w:eastAsia="方正小标宋_GBK"/>
          <w:sz w:val="36"/>
          <w:szCs w:val="36"/>
        </w:rPr>
        <w:sectPr>
          <w:footerReference r:id="rId3" w:type="default"/>
          <w:pgSz w:w="11906" w:h="16838"/>
          <w:pgMar w:top="1440" w:right="1800" w:bottom="1440" w:left="1800" w:header="851" w:footer="425" w:gutter="0"/>
          <w:cols w:space="425" w:num="1"/>
          <w:docGrid w:type="lines" w:linePitch="312" w:charSpace="0"/>
        </w:sectPr>
      </w:pPr>
    </w:p>
    <w:p>
      <w:pPr>
        <w:snapToGrid w:val="0"/>
        <w:spacing w:line="580" w:lineRule="exact"/>
        <w:rPr>
          <w:rFonts w:ascii="Times New Roman" w:hAnsi="Times New Roman" w:eastAsia="方正小标宋_GBK"/>
          <w:b/>
          <w:color w:val="000000"/>
          <w:sz w:val="44"/>
          <w:szCs w:val="44"/>
        </w:rPr>
      </w:pPr>
      <w:bookmarkStart w:id="0" w:name="_Toc31069"/>
      <w:r>
        <w:rPr>
          <w:rFonts w:ascii="Times New Roman" w:hAnsi="Times New Roman" w:eastAsia="方正小标宋_GBK"/>
          <w:b/>
          <w:color w:val="000000"/>
          <w:sz w:val="44"/>
          <w:szCs w:val="44"/>
        </w:rPr>
        <w:t>2022年工商管理学位授权点建设年度报告</w:t>
      </w:r>
      <w:bookmarkEnd w:id="0"/>
    </w:p>
    <w:p>
      <w:pPr>
        <w:spacing w:line="500" w:lineRule="exact"/>
        <w:outlineLvl w:val="0"/>
        <w:rPr>
          <w:rFonts w:ascii="Times New Roman" w:hAnsi="Times New Roman" w:eastAsia="黑体"/>
          <w:sz w:val="32"/>
          <w:szCs w:val="32"/>
        </w:rPr>
      </w:pPr>
      <w:r>
        <w:rPr>
          <w:rFonts w:ascii="Times New Roman" w:hAnsi="Times New Roman" w:eastAsia="黑体"/>
          <w:sz w:val="32"/>
          <w:szCs w:val="32"/>
        </w:rPr>
        <w:t xml:space="preserve">   </w:t>
      </w:r>
    </w:p>
    <w:p>
      <w:pPr>
        <w:spacing w:line="560" w:lineRule="exact"/>
        <w:outlineLvl w:val="0"/>
        <w:rPr>
          <w:rFonts w:ascii="Times New Roman" w:hAnsi="Times New Roman" w:eastAsia="黑体"/>
          <w:sz w:val="32"/>
          <w:szCs w:val="32"/>
        </w:rPr>
      </w:pPr>
      <w:r>
        <w:rPr>
          <w:rFonts w:ascii="Times New Roman" w:hAnsi="Times New Roman" w:eastAsia="黑体"/>
          <w:sz w:val="32"/>
          <w:szCs w:val="32"/>
        </w:rPr>
        <w:t xml:space="preserve"> 一、学术学位授权点基本情况</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（一）定位与目标</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我校工商管理学科创建于 1992 年，坚持面向全国，立足福建，扎根农业农村。以立德树人为根本, 以人才培养为核心，以平台为依托，以教学质量为基本要求，充分利用和整合资源，构建了以涉农企业管理为特色的工商管理创新体系，努力实现学术队伍建设、人才培养、科学研究和社会服务水平整体提升。</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以“服务地方、特色定位、创新导向”为目标，注重知识创新和人才培养。经过近30年的不懈努力，我校工商管理学科成为了福建省省级重点学科，现拥有工商管理一级学科硕士点，企业管理、会计学、旅游管理、技术经济及管理4个二级学科硕士点；工商管理（MBA）和会计（MPAcc）2个专业硕士点；工商管理、旅游管理、会计学、人力资源管理、文化产业管理 5 个全日制本科专业（前4个专业均为省级一流本科专业建设点）；1个涉农企业经营与管理二级博士学位点，已形成学科专业齐全、整体实力较强、社会评价良好的总体格局。</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人才培养目标：</w:t>
      </w:r>
      <w:r>
        <w:rPr>
          <w:rFonts w:ascii="Times New Roman" w:hAnsi="Times New Roman" w:eastAsia="仿宋_GB2312"/>
          <w:sz w:val="32"/>
          <w:szCs w:val="32"/>
        </w:rPr>
        <w:t>贯彻党和国家教育方针，面向现代化、面向世界、面向未来，</w:t>
      </w:r>
      <w:r>
        <w:rPr>
          <w:rFonts w:ascii="Times New Roman" w:hAnsi="Times New Roman" w:eastAsia="仿宋_GB2312"/>
          <w:kern w:val="0"/>
          <w:sz w:val="32"/>
          <w:szCs w:val="32"/>
        </w:rPr>
        <w:t>秉承“知理践行，济农泽农，传承文化”的育人理念，整合课程教学、校内实训和社会实践 3 个课堂，</w:t>
      </w:r>
      <w:r>
        <w:rPr>
          <w:rFonts w:ascii="Times New Roman" w:hAnsi="Times New Roman" w:eastAsia="仿宋_GB2312"/>
          <w:sz w:val="32"/>
          <w:szCs w:val="32"/>
        </w:rPr>
        <w:t>培养德、智、体、美、劳全面发展，适应社会主义现代化建设，具有创新精神和实践能力的复合型高级管理专门人才。</w:t>
      </w:r>
    </w:p>
    <w:p>
      <w:pPr>
        <w:spacing w:line="560" w:lineRule="exact"/>
        <w:ind w:firstLine="640" w:firstLineChars="200"/>
        <w:jc w:val="left"/>
        <w:rPr>
          <w:rFonts w:ascii="Times New Roman" w:hAnsi="Times New Roman" w:eastAsia="仿宋_GB2312"/>
          <w:kern w:val="0"/>
          <w:sz w:val="32"/>
          <w:szCs w:val="32"/>
        </w:rPr>
      </w:pPr>
      <w:r>
        <w:rPr>
          <w:rFonts w:ascii="Times New Roman" w:hAnsi="Times New Roman" w:eastAsia="仿宋_GB2312"/>
          <w:sz w:val="32"/>
          <w:szCs w:val="32"/>
        </w:rPr>
        <w:t>（二）特色与优势</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学科基础条件扎实。充分发挥省高原学科优势，依托部委级科研平台“习近平生态文明思想研究院”“新农村发展研究院”“国家林业局集体林业改革发展研究中心”，省级科研平台“生态文明研究中心”、“乡村旅游研究中心”“海峡两岸休闲农业发展研究中心”“绩效管理研究中心”“农村区域竞争力研究中心”“海峡商业管理研究中心”等，服务地方经济社会发展。</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拥有“生态旅游与创新管理”、“业财融合”2个省级导师团队。学科高级职称占比74.19%，博士学位人数占比77.42%。形成科学研究活跃，理论实践结合，平台建设完备，教师尽职尽责的学科基础。</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学科具有明显的特色。按照国家绿色发展战略和新文科建设的总体要求，充分利用学校农科林科传统优势，推动工商管理与农林的学科交叉融合，形成了自然资源资产管理、涉农企业经营与管理、乡村旅游与文化传承管理、农产品供应链管理四个特色研究方向。多方合作，教研结合，为工商企业、政府决策、学术机构、公益组织、学生成长提供重要支撑，在涉农企业经营管理领域形成明显特色和较强影响力。</w:t>
      </w:r>
    </w:p>
    <w:p>
      <w:pPr>
        <w:pStyle w:val="14"/>
        <w:numPr>
          <w:ilvl w:val="0"/>
          <w:numId w:val="1"/>
        </w:numPr>
        <w:spacing w:line="560" w:lineRule="exact"/>
        <w:ind w:firstLineChars="0"/>
        <w:outlineLvl w:val="0"/>
        <w:rPr>
          <w:rFonts w:ascii="Times New Roman" w:hAnsi="Times New Roman" w:eastAsia="仿宋_GB2312"/>
          <w:sz w:val="32"/>
          <w:szCs w:val="32"/>
        </w:rPr>
      </w:pPr>
      <w:r>
        <w:rPr>
          <w:rFonts w:ascii="Times New Roman" w:hAnsi="Times New Roman" w:eastAsia="仿宋_GB2312"/>
          <w:sz w:val="32"/>
          <w:szCs w:val="32"/>
        </w:rPr>
        <w:t>基本条件</w:t>
      </w:r>
    </w:p>
    <w:p>
      <w:pPr>
        <w:spacing w:line="560" w:lineRule="exact"/>
        <w:rPr>
          <w:rFonts w:ascii="Times New Roman" w:hAnsi="Times New Roman" w:eastAsia="楷体GB2312"/>
          <w:sz w:val="32"/>
          <w:szCs w:val="32"/>
        </w:rPr>
      </w:pPr>
      <w:r>
        <w:rPr>
          <w:rFonts w:ascii="Times New Roman" w:hAnsi="Times New Roman" w:eastAsia="仿宋_GB2312"/>
          <w:sz w:val="32"/>
          <w:szCs w:val="32"/>
        </w:rPr>
        <w:t xml:space="preserve">   </w:t>
      </w:r>
      <w:r>
        <w:rPr>
          <w:rFonts w:ascii="Times New Roman" w:hAnsi="Times New Roman" w:eastAsia="楷体"/>
          <w:sz w:val="32"/>
          <w:szCs w:val="32"/>
        </w:rPr>
        <w:t xml:space="preserve"> 1.培养方向</w:t>
      </w:r>
    </w:p>
    <w:p>
      <w:pPr>
        <w:spacing w:line="560" w:lineRule="exact"/>
        <w:ind w:left="640"/>
        <w:rPr>
          <w:rFonts w:ascii="Times New Roman" w:hAnsi="Times New Roman" w:eastAsia="仿宋_GB2312"/>
          <w:sz w:val="32"/>
          <w:szCs w:val="32"/>
        </w:rPr>
      </w:pPr>
      <w:r>
        <w:rPr>
          <w:rFonts w:ascii="Times New Roman" w:hAnsi="Times New Roman" w:eastAsia="仿宋_GB2312"/>
          <w:sz w:val="32"/>
          <w:szCs w:val="32"/>
        </w:rPr>
        <w:t>（1）企业管理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主要研究领域：涉农企业经营与管理；企业文化与战略管理；人力资源管理；营销与运营管理。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色与优势：充分发挥省高原学科、省级重点学科优势，依托20多个部省级研究平台和智库，做好人才培养工作，服务地方经济社会发展。充分利用学校农科林科传统优势，推动工商管理与农林的学科交叉融合，形成了涉农企业经营与管理、农产品供应链管理等特色研究方向。多方合作，教研结合，为工商企业、政府决策、学术机构、公益组织、学生成长提供重要支撑，在涉农企业经营管理领域形成明显特色和较强影响力。</w:t>
      </w:r>
    </w:p>
    <w:p>
      <w:pPr>
        <w:spacing w:line="560" w:lineRule="exact"/>
        <w:ind w:left="640"/>
        <w:rPr>
          <w:rFonts w:ascii="Times New Roman" w:hAnsi="Times New Roman" w:eastAsia="仿宋_GB2312"/>
          <w:sz w:val="32"/>
          <w:szCs w:val="32"/>
        </w:rPr>
      </w:pPr>
      <w:r>
        <w:rPr>
          <w:rFonts w:ascii="Times New Roman" w:hAnsi="Times New Roman" w:eastAsia="仿宋_GB2312"/>
          <w:sz w:val="32"/>
          <w:szCs w:val="32"/>
        </w:rPr>
        <w:t>（2）会计学</w:t>
      </w:r>
    </w:p>
    <w:p>
      <w:pPr>
        <w:spacing w:line="560" w:lineRule="exact"/>
        <w:ind w:left="640"/>
        <w:rPr>
          <w:rFonts w:ascii="Times New Roman" w:hAnsi="Times New Roman" w:eastAsia="仿宋_GB2312"/>
          <w:sz w:val="32"/>
          <w:szCs w:val="32"/>
        </w:rPr>
      </w:pPr>
      <w:r>
        <w:rPr>
          <w:rFonts w:ascii="Times New Roman" w:hAnsi="Times New Roman" w:eastAsia="仿宋_GB2312"/>
          <w:sz w:val="32"/>
          <w:szCs w:val="32"/>
        </w:rPr>
        <w:t>主要研究领域：会计；财务管理；审计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色与优势：充分发挥省高原学科、省级重点学科优势，依托20多个部省级研究平台和智库，做好人才培养工作，服务地方经济社会发展。充分利用学校农科林科传统优势，推动工商管理与农林的学科交叉融合，形成了自然资源资产管理等特色研究方向。拥有会计学本科专业课程群校级优秀教学团队和业财融合”省级导师团队，教研结合，为工商企业、政府决策、学术机构、公益组织、学生成长提供重要支撑。</w:t>
      </w:r>
    </w:p>
    <w:p>
      <w:pPr>
        <w:spacing w:line="560" w:lineRule="exact"/>
        <w:ind w:left="640"/>
        <w:rPr>
          <w:rFonts w:ascii="Times New Roman" w:hAnsi="Times New Roman" w:eastAsia="仿宋_GB2312"/>
          <w:sz w:val="32"/>
          <w:szCs w:val="32"/>
        </w:rPr>
      </w:pPr>
      <w:r>
        <w:rPr>
          <w:rFonts w:ascii="Times New Roman" w:hAnsi="Times New Roman" w:eastAsia="仿宋_GB2312"/>
          <w:sz w:val="32"/>
          <w:szCs w:val="32"/>
        </w:rPr>
        <w:t>（3）旅游管理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主要研究领域：生态旅游；乡村旅游；旅游企业管理</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色与优势：充分发挥省高原学科、省级重点学科优势，依托20多个部省级研究平台和智库，做好人才培养工作，服务地方经济社会发展。充分利用学校农科林科传统优势，推动工商管理与农林的学科交叉融合，形成了乡村旅游与文化传承管理、旅游企业管理等特色研究方向。拥有“生态旅游与创新管理”省级导师团队，教研结合，为工商企业、政府决策、学术机构、公益组织、学生成长提供重要支撑。</w:t>
      </w:r>
    </w:p>
    <w:p>
      <w:pPr>
        <w:spacing w:line="560" w:lineRule="exact"/>
        <w:ind w:left="640"/>
        <w:rPr>
          <w:rFonts w:ascii="Times New Roman" w:hAnsi="Times New Roman" w:eastAsia="仿宋_GB2312"/>
          <w:sz w:val="32"/>
          <w:szCs w:val="32"/>
        </w:rPr>
      </w:pPr>
      <w:r>
        <w:rPr>
          <w:rFonts w:ascii="Times New Roman" w:hAnsi="Times New Roman" w:eastAsia="仿宋_GB2312"/>
          <w:sz w:val="32"/>
          <w:szCs w:val="32"/>
        </w:rPr>
        <w:t>（4）技术经济及管理</w:t>
      </w:r>
    </w:p>
    <w:p>
      <w:pPr>
        <w:spacing w:line="56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主要研究领域：技术经济系统评价与分析；项目投资与风险管理；投融资管理；技术经济与区域发展；投资决策与评估</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色与优势：充分发挥省高原学科、省级重点学科优势，依托20多个部省级研究平台和智库，做好人才培养工作，服务地方经济社会发展。充分利用学校农科林科传统优势，推动工商管理与农林的学科交叉融合，多方合作，教研结合，为工商企业、政府决策、学术机构、公益组织、学生成长提供重要支撑，在涉农企业经营管理领域形成明显特色和较强影响力。</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（四）研究生规模及结构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2022年招收学硕研究生46人，生源质量优良，涵盖 8 个省、2 个自治区，包括新疆、西藏等。</w:t>
      </w:r>
    </w:p>
    <w:p>
      <w:pPr>
        <w:spacing w:line="560" w:lineRule="exact"/>
        <w:outlineLvl w:val="0"/>
        <w:rPr>
          <w:rFonts w:ascii="Times New Roman" w:hAnsi="Times New Roman" w:eastAsia="黑体"/>
          <w:sz w:val="32"/>
          <w:szCs w:val="32"/>
        </w:rPr>
      </w:pPr>
      <w:r>
        <w:rPr>
          <w:rFonts w:ascii="Times New Roman" w:hAnsi="Times New Roman" w:eastAsia="仿宋_GB2312"/>
          <w:b/>
          <w:bCs/>
          <w:sz w:val="32"/>
          <w:szCs w:val="32"/>
        </w:rPr>
        <w:t xml:space="preserve">    </w:t>
      </w:r>
      <w:r>
        <w:rPr>
          <w:rFonts w:ascii="Times New Roman" w:hAnsi="Times New Roman" w:eastAsia="黑体"/>
          <w:sz w:val="32"/>
          <w:szCs w:val="32"/>
        </w:rPr>
        <w:t>二、研究生党建及思想政治教育工作</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（一）基层党组织及党建工作概况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学位点的基层党组织包括中共福建农林大学经济与管理学院党委、企业管理研究中心党支部、企业管理专业教师党支部、人力专业教师党支部“双带头人”书记工作室（省级）、会计系教师党支部、文化和旅游管理系教师党支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举旗帜，聚民心，兴文化，育新人，展形象”筑牢意识形态阵地。抓牢意识形态话语权，利用学院微信公众号，以青年学生喜闻乐见的方式加强新思想教育引领，强化爱党爱国的思想根基；构建网格化信息反馈机制，结合面上思政调研、政工团队深入排查、信息员队伍随时反馈，织牢信息“覆盖网”，确保信息及时有效传递；抓好课堂、自媒体、讲座论坛、社团等阵地管理，严格落实“一会一报”和日常巡查督导，提高对敏感问题的发现研判处置；举办“温暖同行·云端相聚”——未返校学生“云谈心”活动，围绕疫情防控、心理健康、线上学习等方面与未返校学生进行交流，重点关注学生居家防疫、身心健康、学习成绩等问题，并通过辅导员、班主任、导师以及“一对一”帮扶人全力做好服务工作。</w:t>
      </w:r>
    </w:p>
    <w:p>
      <w:pPr>
        <w:spacing w:line="560" w:lineRule="exact"/>
        <w:ind w:firstLine="640" w:firstLineChars="200"/>
        <w:rPr>
          <w:rFonts w:ascii="Times New Roman" w:hAnsi="Times New Roman" w:eastAsia="方正仿宋简体"/>
          <w:color w:val="000000"/>
          <w:sz w:val="28"/>
          <w:szCs w:val="28"/>
        </w:rPr>
      </w:pPr>
      <w:r>
        <w:rPr>
          <w:rFonts w:ascii="Times New Roman" w:hAnsi="Times New Roman" w:eastAsia="仿宋_GB2312"/>
          <w:sz w:val="32"/>
          <w:szCs w:val="32"/>
        </w:rPr>
        <w:t>发挥基层党建引领。以 8个省级样板支部建设为重点，深入开展“达标创星”与“对标争先”活动，营造创先争优氛围，夯实党建工作基础。结合党支部立项工作，培育会计系教师及学生党支部“财务预审团”与文化和旅游管理系教师及学生“生态文明讲解队”两个“党建+”融合团队。发挥企业管理专业、人力资源管理专业、会计系、文化和旅游管理系师生党支部和党员在疫情防控中的战斗堡垒和先锋模范作用，让党旗在疫情防控一线高高飘扬。</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（二）发挥模范带头作用的情况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立德树人为根本任务，以服务师生为宗旨，人力专业教师党支部“双带头人”工作室开展了学生专业技能培养的系列活动，包括第二届简历制作大赛和面试技巧培训等。学生们反馈，通过技能培训活动加深了对于招聘的认识，增强了应对未来求职的信心与能力。</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（三）研究生党建和思想政治教育工作</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为深入贯彻落实《中国科协 教育部关于开展科学道德和学风建设宣讲教育活动的通知》（科协发组字[2011]38号）、《高等学校预防与处理学术不端行为办法》(中华人民共和国教育部令第40号)和《福建农林大学学风建设实施细则(试行)》（闽农林大科[2017]6号）等文件精神，优化本学位点研究生学术诚信环境，增强研究生的科学道德精神和学风自律意识，培育优良学风，进一步巩固和扩大研究生科学道德和学风建设宣讲教育工作成果，本学位点研究生教育教学委员会精心谋划，认真制定宣讲教育工作方案，确保科学道德和学风建设宣讲教育工作全覆盖、制度化、重实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召开2022级研究生入学教育大会暨科学道德与学风建设教育大会，为新生上好学术道德规范教育的开学第一课，同时也为今后的研究生阶段学习指明了方向；将学术道德规范教育作为专业第一讲，组织研究生导师以专业为单位，开展学术道德规范专题培训，引导学生明确本学科的学术要求和规范，掌握学术研究工作规范，自觉抵制学术不端行为，抓好新生报到的有利时机；以年级为单位，辅导员结合年级班会组织研究生召开学术道德规范主题班会，引导同学们自觉把学术诚信作为学术创新的基石，坚守学术诚信底线，维护学术尊严；对研究生会学生干部，研究生党员召开专门的学术道德规范教育座谈会，切实发挥学生干部和学生党员对学术道德规范的宣传和模范带头作用。</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三、研究生培养与教学工作</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（一）师资队伍</w:t>
      </w:r>
    </w:p>
    <w:p>
      <w:pPr>
        <w:spacing w:line="560" w:lineRule="exact"/>
        <w:ind w:firstLine="640" w:firstLineChars="200"/>
        <w:outlineLvl w:val="0"/>
        <w:rPr>
          <w:rFonts w:ascii="Times New Roman" w:hAnsi="Times New Roman" w:eastAsia="楷体"/>
          <w:sz w:val="32"/>
          <w:szCs w:val="32"/>
        </w:rPr>
      </w:pPr>
      <w:r>
        <w:rPr>
          <w:rFonts w:ascii="Times New Roman" w:hAnsi="Times New Roman" w:eastAsia="楷体"/>
          <w:sz w:val="32"/>
          <w:szCs w:val="32"/>
        </w:rPr>
        <w:t>1.专任教师队伍结构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本学位点积极强化教师队伍建设，采取引培相结合人才队伍建设模式，建立系为单位学科梯队建设机制，通过“学科发展带动队伍建设，队伍建设促进学科发展”的方式，培养学科带头人和骨干教师；在柔性引进 1 位台湾中原大学商学院教授、博导的基础上，新聘多名富有丰富实践经验的行业、企事业单位背景硕士生导师；积极探索队伍团队建设模式，通过“以教促研，以研哺教”方式，打造出若干支教学素养优良，科研成果丰硕的教师团队。近年来，会计学本科专业课程群教学团队获校级优秀教学团队， “生态旅游创新与管理团队”获省级硕士生导师团队， “业财融合团队”获省级专业学位研究生导师团队。</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现有研究生导师31人，其中教授7人，副教授16人，讲师8人；具有博士学位24人，占77.42%，年龄大多在36岁以上。</w:t>
      </w:r>
    </w:p>
    <w:p>
      <w:pPr>
        <w:spacing w:line="560" w:lineRule="exact"/>
        <w:ind w:firstLine="640" w:firstLineChars="200"/>
        <w:outlineLvl w:val="0"/>
        <w:rPr>
          <w:rFonts w:ascii="Times New Roman" w:hAnsi="Times New Roman" w:eastAsia="楷体"/>
          <w:sz w:val="32"/>
          <w:szCs w:val="32"/>
        </w:rPr>
      </w:pPr>
      <w:r>
        <w:rPr>
          <w:rFonts w:ascii="Times New Roman" w:hAnsi="Times New Roman" w:eastAsia="楷体"/>
          <w:sz w:val="32"/>
          <w:szCs w:val="32"/>
        </w:rPr>
        <w:t>2.导师责任落实情况</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以立德树人为根本，以强农兴农为己任，“五育并举”，全面推进课程思政建设。制定《工商管理高原学科项目建设方案与资助办法》，设立课程思政建设专项经费；开展课程思政教学设计创新专题培训、教改立项与教学竞赛；开展基层教学组织示范点建设，建立课程思政集体教研制度；依托教育部产学合作协同育人项目和院级示范实践教学基地，深化产学合作协同育人；开设绿色创新大讲堂，开发新思想引领工商管理系列主题原创案例；每年遴选资助 30 组学生实地调查类案例研发，培养学生创新意识和能力。</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立足学科特色，把握区域需求，探索实践育人新模式。组建全国第一支由会计专业学生组成的“校园财务预审团”，打造了以旅游专业学生为主体的“校园生态文明讲解队”，分别开展校内财务报销预审、校园文化与生态文明理念宣传等特色工作；扎实推动产教融合，拓展 20 余个可供学生专业实践的企业基地；引导学生投身全国青运会、中国数字峰会志愿服务活动，毕业生到西部、到欠发达地区服务项目逐年增多。</w:t>
      </w:r>
    </w:p>
    <w:p>
      <w:pPr>
        <w:spacing w:line="560" w:lineRule="exact"/>
        <w:ind w:firstLine="640" w:firstLineChars="200"/>
        <w:rPr>
          <w:rFonts w:ascii="Times New Roman" w:hAnsi="Times New Roman" w:eastAsia="方正仿宋简体"/>
          <w:color w:val="000000"/>
          <w:sz w:val="28"/>
          <w:szCs w:val="28"/>
        </w:rPr>
      </w:pPr>
      <w:r>
        <w:rPr>
          <w:rFonts w:ascii="Times New Roman" w:hAnsi="Times New Roman" w:eastAsia="仿宋_GB2312"/>
          <w:sz w:val="32"/>
          <w:szCs w:val="32"/>
        </w:rPr>
        <w:t>抓实思想政治工作队伍建设，按照规定比例配齐建强导师、思政辅导员、班主任队伍，以“四有好老师”、“四个相统一”、“四个引路人”标准加强师德师风建设，充分发挥导师、辅导员、班主任在学术指导、思想引领、专业教导、人生引导作用，加强队伍管理、培训、考评一体化建设，打造一支“政治强、业务精、纪律严、作风优、人格正”的思政队伍，落实三全育人要求，践行立德树人初心。</w:t>
      </w:r>
    </w:p>
    <w:p>
      <w:pPr>
        <w:spacing w:line="560" w:lineRule="exact"/>
        <w:ind w:firstLine="640" w:firstLineChars="200"/>
        <w:outlineLvl w:val="0"/>
        <w:rPr>
          <w:rFonts w:ascii="Times New Roman" w:hAnsi="Times New Roman" w:eastAsia="楷体"/>
          <w:sz w:val="28"/>
          <w:szCs w:val="28"/>
        </w:rPr>
      </w:pPr>
      <w:r>
        <w:rPr>
          <w:rFonts w:ascii="Times New Roman" w:hAnsi="Times New Roman" w:eastAsia="楷体"/>
          <w:sz w:val="32"/>
          <w:szCs w:val="32"/>
        </w:rPr>
        <w:t>3.师德师风建设情况</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师德教育方面</w:t>
      </w:r>
      <w:r>
        <w:rPr>
          <w:rFonts w:ascii="Times New Roman" w:hAnsi="Times New Roman" w:eastAsia="仿宋_GB2312"/>
          <w:sz w:val="32"/>
          <w:szCs w:val="32"/>
        </w:rPr>
        <w:t>，集中开展研究生导师、班主任立德树人专题教育、教师职业行为和师德禁行学习教育。深入贯彻落实学校《关于建立健全师德建设长效机制的实施办法》等学习教育。不定期派出教师参与各类调研交流、考察学习和调研活动。做好榜样示范引领，挖掘、选树、宣传师德师风典型，引导广大教师以德立身、以德立学、以德施教。</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师德考核方面</w:t>
      </w:r>
      <w:r>
        <w:rPr>
          <w:rFonts w:ascii="Times New Roman" w:hAnsi="Times New Roman" w:eastAsia="仿宋_GB2312"/>
          <w:sz w:val="32"/>
          <w:szCs w:val="32"/>
        </w:rPr>
        <w:t>，坚持把政治标准放在首位、把师德师风作为教师素质评价第一标准要求，融入课题申报、职称评审、导师遴选等评聘和考核各环节，课堂教学质量评价排名低于 85%的不得参加较高一级的职称评聘。在教师年度考核、职务（职称）评聘、评优奖励中，把思想政治表现和课堂教学质量作为首要标准，考核结果存入教师档案。</w:t>
      </w:r>
    </w:p>
    <w:p>
      <w:pPr>
        <w:spacing w:line="56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师德监督惩处方面</w:t>
      </w:r>
      <w:r>
        <w:rPr>
          <w:rFonts w:ascii="Times New Roman" w:hAnsi="Times New Roman" w:eastAsia="仿宋_GB2312"/>
          <w:sz w:val="32"/>
          <w:szCs w:val="32"/>
        </w:rPr>
        <w:t>，学院成立教学督导小组，制定了《学院教学督导制度》，每学期有专人开展教学督导，并制定了《学院听课制度》明确听课要求，健全以导为主，以督为辅的监督约束机制，强化过程性质量评价，形成良好师德建设长效机制。注重增加院领导听课次数，强化压力传导，规范课堂教学和授课纪律。注重师生赴境外研修访学、交换学习的行前教育和过程教育，掌握思想动态，使教师知政策、明底线，进一步自觉树立抵制境外宗教势力渗透的意识。</w:t>
      </w:r>
    </w:p>
    <w:p>
      <w:pPr>
        <w:spacing w:line="560" w:lineRule="exact"/>
        <w:ind w:firstLine="640" w:firstLineChars="200"/>
        <w:rPr>
          <w:rFonts w:ascii="Times New Roman" w:hAnsi="Times New Roman" w:eastAsia="方正仿宋简体"/>
          <w:color w:val="000000"/>
          <w:sz w:val="28"/>
          <w:szCs w:val="28"/>
        </w:rPr>
      </w:pPr>
      <w:r>
        <w:rPr>
          <w:rFonts w:ascii="Times New Roman" w:hAnsi="Times New Roman" w:eastAsia="仿宋_GB2312"/>
          <w:sz w:val="32"/>
          <w:szCs w:val="32"/>
        </w:rPr>
        <w:t>对于教师出现一般性不规范行为，院领导及时找教师谈心谈话或进行批评教育，对违背教师师德师风行为符合学校教学事故条件的一票否决，坚决进行处理，并且运用绩效管理制度进行必要的经济处罚。用好监督执纪“四种形态”，对部分教师曾出现的违纪问题立案审查，作违纪处理，切实营造人人敬畏纪律的师德建设良好环境。</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（二）课程教学</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本学位点研究生主干课程设置：工商管理一级学科硕士公共课程包括高级管理学、管理研究方法论、中级经济学、高级计量经济学；其中企业管理方向包括高级企业战略管理、现代营销管理等；会计学方向包括现代会计理论专题、实证会计研究、高级财务管理等；旅游管理方向包括旅游管理理论专题、生态旅游专题、区域旅游规划的理论与实践等；技术经济及管理方向包括技术创新管理、技术经济学等。</w:t>
      </w:r>
    </w:p>
    <w:p>
      <w:pPr>
        <w:spacing w:line="560" w:lineRule="exact"/>
        <w:ind w:firstLine="640" w:firstLineChars="200"/>
        <w:outlineLvl w:val="0"/>
        <w:rPr>
          <w:rFonts w:ascii="楷体_GB2312" w:hAnsi="楷体_GB2312" w:eastAsia="楷体_GB2312" w:cs="楷体_GB2312"/>
          <w:color w:val="000000"/>
          <w:sz w:val="28"/>
          <w:szCs w:val="28"/>
        </w:rPr>
      </w:pPr>
      <w:r>
        <w:rPr>
          <w:rFonts w:hint="eastAsia" w:ascii="楷体_GB2312" w:hAnsi="楷体_GB2312" w:eastAsia="楷体_GB2312" w:cs="楷体_GB2312"/>
          <w:sz w:val="32"/>
          <w:szCs w:val="32"/>
        </w:rPr>
        <w:t>1.</w:t>
      </w:r>
      <w:r>
        <w:rPr>
          <w:rFonts w:hint="eastAsia" w:ascii="仿宋_GB2312" w:hAnsi="仿宋_GB2312" w:eastAsia="仿宋_GB2312" w:cs="仿宋_GB2312"/>
          <w:sz w:val="32"/>
          <w:szCs w:val="32"/>
        </w:rPr>
        <w:t>课程教学质量持续改进机制</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课程教学质量持续改进机制包括：①建立优胜劣汰的教师选聘与淘汰机制；②建立定期进行的教师教学经验交流机制和外出培训机制；③建立教师教学质量学生评价机制；④建立常规的教学方案修订机制；⑤建立教学大纲定期修订制度；⑥建立稳定的课程教学团队制度，规定每位教师每学期只承担1门研究生课程的教学任务，特殊情况下不超过两门，每门课程至少要配备2-3名任课教师；实行课程负责人制度，每门课程都必须制定一名教师为课程负责人，全面负责该门课程的人员和时间安排。</w:t>
      </w:r>
    </w:p>
    <w:p>
      <w:pPr>
        <w:spacing w:line="560" w:lineRule="exact"/>
        <w:ind w:firstLine="640" w:firstLineChars="200"/>
        <w:outlineLvl w:val="0"/>
        <w:rPr>
          <w:rFonts w:ascii="Times New Roman" w:hAnsi="Times New Roman" w:eastAsia="楷体"/>
          <w:sz w:val="32"/>
          <w:szCs w:val="32"/>
        </w:rPr>
      </w:pPr>
      <w:r>
        <w:rPr>
          <w:rFonts w:ascii="Times New Roman" w:hAnsi="Times New Roman" w:eastAsia="楷体"/>
          <w:sz w:val="32"/>
          <w:szCs w:val="32"/>
        </w:rPr>
        <w:t>2.</w:t>
      </w:r>
      <w:r>
        <w:rPr>
          <w:rFonts w:ascii="仿宋_GB2312" w:hAnsi="仿宋_GB2312" w:eastAsia="仿宋_GB2312" w:cs="仿宋_GB2312"/>
          <w:sz w:val="32"/>
          <w:szCs w:val="32"/>
        </w:rPr>
        <w:t>学术训练</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本学位点学术训练内容包括：（1）课程论文的研究与写作训练。学位课程要求研究生至少撰写一篇课程论文。其他课程根据课程学习的实际情况，由任课老师决定是否撰写课程论文。（2）学术讲座与学术会议要求，要求每一位研究生每学期至少参加4次以上的学术讲座，每学年至少要参加一次重要学术会议。（3）参与指导教师主持的项目研究。要求研究生导师在课题申报和组织研究团队时，必须有自己指导的学生参与。学生的日常科研活动应自觉围绕导师的项目研究而展开。（4）要求研究生必须以第一作者在本科大学学报、北大核心、CSSCI、CSCD、SSCI、SCIE期刊公开发表学术论文1篇以上（含一篇），且第一署名单位是福建农林大学。同时，各个二级专业根据专业特点，制定了适应本专业的学术训练要求。</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（三）人才培养质量保证情况</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首先，严格教学管理。课程实行学分制管理，同一门课程补考或重修不得超过一次。课程补考累计超过四门者（包括四门），不能授予学位。严格要求任课老师执行上课点名制度，对于少于2/3到课率的学员不给予考试资格。落实导师负责制和班主任责任制。其次，规范学位论文管理。严格把控论文开题质量，对不符合要求的开题，一律不予以通过。严格执行学位论文查重制度，对符合检测标准者再实行全员盲审制度。论文答辩阶段，不符合要求者坚决不予以通过答辩，延期半年后再次送审论文，送审合格后方可重新申请答辩。最后，提升教学质量。强化案例教学，近两年教学案例入库近50篇。强化管理实战技能锻炼，突出涉农教学实践。</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（四）管理服务支撑情况</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学校设有研究生院对学位点进行宏观指导与管理，学院配备了专门的学位点管理人员，成员由副院长1人、学科带头人4人，系主任3人、系副主任5人、研究生秘书1人、教务员1人以及实验员1人，共16人组成。同时拥有分管研究生的学院副书记1人、辅导员3人，负责学生的日常生活协调帮助和心理辅导等工作。配备的专职研究生教务秘书和教务员，主要负责学生学籍注册、日常教学运行管理、组织培养方案论证、组织任课教师编写教学大纲、试卷最终归档等具体工作，并按学校要求安排组织实践、论文开题、中期考核、论文送审、论文答辩等具体工作。分管研究生的学院副书记和辅导员，主要负责学生的日常生活协调帮助和心理辅导等工作。学科带头人负责培育学科梯队，凝练学科优势，提升学科水平，加强学科建设与管理。</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（五）就业发展</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本学位点毕业生近2年平均就业率为98.16%，绝大多数毕业生进入国有企业、民营企业单位就业；另有12.12%的毕业生到党政机关就业；有12.12%的毕业生到高等教育单位就业，为政府、企业、高校和科研机构输送了大量人才。毕业生职业发展情况良好，大部分毕业生在毕业后迅速成为单位的业务骨干，人才培养质量受到社会各界肯定。也涌现出了许多优秀毕业生，比如陈秀容同学从2014 年至今担任福州先施企业有限公司董事长，福建省政协第十一届列席委员，2016 年当选福建省妇联兼职副主席，福建省台联经济社会法律委员会副主任，2015 年获得福建省“三八红旗手”称号。</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四、研究生教育支撑条件</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（一）科学研究</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2022年本学位点获得国家课题2项，合同经费35万元；省部级课题20项；承担政府、企事业单位委托横向课题100余项，合同经费超过100万元；在EI、SCI、CSSCI、CSCD等权威期刊发表论文50多篇，近30篇管理案例入库中国管理案例共享中心，出版著作4部。</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（二）平台支撑</w:t>
      </w:r>
    </w:p>
    <w:p>
      <w:pPr>
        <w:pStyle w:val="1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本学位点拥有国家林业与草原局集体林业改革发展研究中心、教育部国别和区域研究中心南太平洋岛国研究中心、福建生态文明研究中心、福建乡村旅游研究中心、福建农村区域竞争力研究中心等部省级研究平台和智库20多个，在农林经济管理领域有较好的科研水平。</w:t>
      </w:r>
    </w:p>
    <w:p>
      <w:pPr>
        <w:spacing w:line="560" w:lineRule="exact"/>
        <w:ind w:firstLine="640" w:firstLineChars="200"/>
        <w:outlineLvl w:val="0"/>
        <w:rPr>
          <w:rFonts w:ascii="Times New Roman" w:hAnsi="Times New Roman" w:eastAsia="仿宋_GB2312"/>
          <w:bCs/>
          <w:sz w:val="32"/>
          <w:szCs w:val="32"/>
        </w:rPr>
      </w:pPr>
      <w:r>
        <w:rPr>
          <w:rFonts w:ascii="Times New Roman" w:hAnsi="Times New Roman" w:eastAsia="仿宋_GB2312"/>
          <w:bCs/>
          <w:sz w:val="32"/>
          <w:szCs w:val="32"/>
        </w:rPr>
        <w:t>（三）奖助体系</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学校设立了研究生国家奖学金、学业奖学金等奖学金，以及研究生先进个人、优秀研究生干部、优秀硕士论文等荣誉奖励项目。学校协助研究生申请国家助学贷款，并设立困难补助、勤工助学等多种资助项目。除学校奖助体系外，学院也已经形成学院层面的特有的奖助体系，比如“九三农林——海欣助学金”等。</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五、学位点服务典型案例</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（一）智库建设取得重大突破</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以生态文明研究中心为例，近2年来，一是决策咨询职能获重大突破，成果显著。2022年，智库成员提供的13份决策咨询报告被省部级及以上党委政府部门采纳。其中陈秋华等撰写的决策咨询报告《关于做大做强做优福建文旅经济的建议》被省智库办《智库专报》相关研究专报采纳，省委领导作出批示；二是成为生态文明思想的宣传队和播种机。智库在为党政部门提供咨询服务的同时，也致力为社会各界提供以知识更新为主要内容的短期培训，使之成为生态文明研究领域的专门人才库和人才培养培训基地。2022年，智库致力于大力宣传生态文明建设的理念与方法，共举办社会培训12次，培训对象超过1200人。</w:t>
      </w:r>
    </w:p>
    <w:p>
      <w:pPr>
        <w:spacing w:line="560" w:lineRule="exact"/>
        <w:ind w:firstLine="640" w:firstLineChars="200"/>
        <w:outlineLvl w:val="0"/>
        <w:rPr>
          <w:rFonts w:ascii="Times New Roman" w:hAnsi="Times New Roman" w:eastAsia="方正仿宋简体"/>
          <w:color w:val="000000"/>
          <w:sz w:val="28"/>
          <w:szCs w:val="28"/>
        </w:rPr>
      </w:pPr>
      <w:r>
        <w:rPr>
          <w:rFonts w:ascii="Times New Roman" w:hAnsi="Times New Roman" w:eastAsia="仿宋_GB2312"/>
          <w:sz w:val="32"/>
          <w:szCs w:val="32"/>
        </w:rPr>
        <w:t>（二）以五大新发展理念为引领，为推动高质量发展建言献策</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围绕创新、协调、绿色、开发、共享的新发展理念，推动高质量发展，本学位点教师积极建言献策。2016-2022年，教师提交1篇决策咨询报告获时任国务院副总理张高丽的肯定性批示，12篇决策咨询报告获省委书记、省长等省领导肯定性批示，2 篇中共中央办公厅内刊《每日汇报》采纳，43 篇被福建省委办公厅内刊《八闽快讯·专报件》《福建信息》或福建省社科联《福建省社会科学规划研究项目成果要报》采纳，74篇获国家发改委、福建省文化与旅游厅、福建省商务厅、福建省质量技术监督局、原福建省农业厅、原福建省林业厅等部门采纳。</w:t>
      </w:r>
    </w:p>
    <w:p>
      <w:pPr>
        <w:spacing w:line="56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（三）以 OBE 教育理念为指导，形成产教协同育人模式</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紧密结合福建省经济社会发展对高素质应用型人才的需求，不断践行“学生中心、成果导向、持续改进”的 OBE 教育理念，形成了“广协同、深融合、重创新”产教协同育人模式。</w:t>
      </w:r>
      <w:r>
        <w:rPr>
          <w:rFonts w:ascii="Times New Roman" w:hAnsi="Times New Roman" w:eastAsia="仿宋_GB2312"/>
          <w:b/>
          <w:sz w:val="32"/>
          <w:szCs w:val="32"/>
        </w:rPr>
        <w:t>学生中心方面</w:t>
      </w:r>
      <w:r>
        <w:rPr>
          <w:rFonts w:ascii="Times New Roman" w:hAnsi="Times New Roman" w:eastAsia="仿宋_GB2312"/>
          <w:bCs/>
          <w:sz w:val="32"/>
          <w:szCs w:val="32"/>
        </w:rPr>
        <w:t>，近几年来先后组织 50 多位研究生深入调研 200 多家商贸流通企业，积极组织学生参与全国性学术与行业交流活动累计 50 场次，举办 45 期基地学术沙龙跟踪学科前沿知识，根据学生需求，推荐前往福建省商务厅等政府、行业协会及企业实习。</w:t>
      </w:r>
      <w:r>
        <w:rPr>
          <w:rFonts w:ascii="Times New Roman" w:hAnsi="Times New Roman" w:eastAsia="仿宋_GB2312"/>
          <w:b/>
          <w:sz w:val="32"/>
          <w:szCs w:val="32"/>
        </w:rPr>
        <w:t>成果导向方面</w:t>
      </w:r>
      <w:r>
        <w:rPr>
          <w:rFonts w:ascii="Times New Roman" w:hAnsi="Times New Roman" w:eastAsia="仿宋_GB2312"/>
          <w:bCs/>
          <w:sz w:val="32"/>
          <w:szCs w:val="32"/>
        </w:rPr>
        <w:t>，2 位研究生获得中国商业经济优秀论文奖，近 20 位研究生获得福建省优秀商业经济成果奖。获得国家级学科竞赛 2 项，国家级、省级创新创业训练 7 项。指导学生发表学术论文 40 余篇。积极组织学生参加教学案例企业调研，完成 50多篇教学案例撰写，多篇入选第八届、第十二届、第十三届“全国百篇优秀管理案例”。</w:t>
      </w:r>
      <w:r>
        <w:rPr>
          <w:rFonts w:ascii="Times New Roman" w:hAnsi="Times New Roman" w:eastAsia="仿宋_GB2312"/>
          <w:b/>
          <w:sz w:val="32"/>
          <w:szCs w:val="32"/>
        </w:rPr>
        <w:t>持续改进方面</w:t>
      </w:r>
      <w:r>
        <w:rPr>
          <w:rFonts w:ascii="Times New Roman" w:hAnsi="Times New Roman" w:eastAsia="仿宋_GB2312"/>
          <w:bCs/>
          <w:sz w:val="32"/>
          <w:szCs w:val="32"/>
        </w:rPr>
        <w:t>，举办福建省重点流通企业座谈会，联结重点流通企业代表们和省商务厅各职能部门，及时动态分析每季度企业面临困难及政府政策诉求，指导学生完成政府委托课题近 20 项，形成 40项商贸流通相关课题成果、信息专报件，并获得省领导、厅领导批示、采纳。</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六、学位点建设存在的问题</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一是师资队伍的整体水平有待提高。现有专任教师中既具有国际视野、又具有较高管理理论水平与丰富管理实践经验的高水平名师仍然偏少。</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二是学术硕士研究生高质量培养有待加强。虽然工商管理学科的硕士研究生的学术成果有所进步，但是缺乏高层次研究成果，有意深造博士的学生比例有待提升。</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三是国际交流有待拓展。我校虽然在师资队伍建设、教学交流等方面开展了一定的国际化交流与合作，但是还处于初级阶段，需要进一步拓展。</w:t>
      </w:r>
    </w:p>
    <w:p>
      <w:pPr>
        <w:spacing w:line="56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七、下一年度建设计划</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一）深入推进研究生创新能力提升计划。遴选科研基础好、学术能力强、有意攻读博士学位的研究生进入特训营，为建立硕博贯通培养体系打下基础。探索建立学生发表高质量学术论文、参与教师科研课题、参加高水平学术会议、参加高水平赛事等激励制度。</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（二）进一步完善研究生课程体系。全面推进课程思政改革，开展课程思政教研教改立项，深拓课程思政教学内容。继续打造精品示范课程，编写优质教材成果。</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（三）加强导师队伍建设。落实导师育人职责，建立健全师德师风激励与约束机制，加强导师岗位培训。将思想政治教育摆在导师培养培训工作首位，创新导师思想政治学习方式。</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四）健全质量监控保障体系。建立健全多维质量评价体系，树立正确质量评价导向。健全课程学习、实习实践、学位论文开题、中期考核、论文评阅和答辩、学位评定等全过程质量监督体制体系。加大学风监督与学术不端惩戒力度，对学术不端行为零容忍。</w:t>
      </w:r>
    </w:p>
    <w:p>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（五）加强国际交流与合作，拓展学生国际化视野。以学校建设高水平大学为契机，加强与香港、澳门、台湾及国外商学院的交流与合作，不断拓展学生的国际化视野。</w:t>
      </w:r>
    </w:p>
    <w:p>
      <w:pPr>
        <w:spacing w:line="560" w:lineRule="exact"/>
        <w:rPr>
          <w:rFonts w:ascii="Times New Roman" w:hAnsi="Times New Roman"/>
        </w:rPr>
      </w:pPr>
    </w:p>
    <w:sectPr>
      <w:footerReference r:id="rId4" w:type="default"/>
      <w:pgSz w:w="11906" w:h="16838"/>
      <w:pgMar w:top="2098" w:right="1474" w:bottom="1985" w:left="1588"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GB2312">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768383"/>
    </w:sdtPr>
    <w:sdtContent>
      <w:p>
        <w:pPr>
          <w:pStyle w:val="6"/>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A7CEE"/>
    <w:multiLevelType w:val="multilevel"/>
    <w:tmpl w:val="189A7CEE"/>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OWQ3NjQ3MzVlZTFkZDMxODdhNWM1YWE2YmY1ODgifQ=="/>
  </w:docVars>
  <w:rsids>
    <w:rsidRoot w:val="009526BC"/>
    <w:rsid w:val="000157B4"/>
    <w:rsid w:val="00024899"/>
    <w:rsid w:val="000268A0"/>
    <w:rsid w:val="00027EE0"/>
    <w:rsid w:val="000363A1"/>
    <w:rsid w:val="00047816"/>
    <w:rsid w:val="00054BC5"/>
    <w:rsid w:val="000D451B"/>
    <w:rsid w:val="000F579C"/>
    <w:rsid w:val="0010729B"/>
    <w:rsid w:val="0013796D"/>
    <w:rsid w:val="0014643F"/>
    <w:rsid w:val="00165902"/>
    <w:rsid w:val="001B4650"/>
    <w:rsid w:val="001E29AB"/>
    <w:rsid w:val="002029BD"/>
    <w:rsid w:val="002A4096"/>
    <w:rsid w:val="002A481B"/>
    <w:rsid w:val="002A5051"/>
    <w:rsid w:val="002E3D65"/>
    <w:rsid w:val="00302471"/>
    <w:rsid w:val="003151B8"/>
    <w:rsid w:val="003205DB"/>
    <w:rsid w:val="00355819"/>
    <w:rsid w:val="00365E96"/>
    <w:rsid w:val="00373162"/>
    <w:rsid w:val="003A2429"/>
    <w:rsid w:val="003B3F4C"/>
    <w:rsid w:val="003B5C3F"/>
    <w:rsid w:val="003C6710"/>
    <w:rsid w:val="003E4431"/>
    <w:rsid w:val="003E53E4"/>
    <w:rsid w:val="004113B0"/>
    <w:rsid w:val="004165D7"/>
    <w:rsid w:val="00430416"/>
    <w:rsid w:val="004515EE"/>
    <w:rsid w:val="00453D6F"/>
    <w:rsid w:val="004A308A"/>
    <w:rsid w:val="004C1CC8"/>
    <w:rsid w:val="004D6B7D"/>
    <w:rsid w:val="004F00E6"/>
    <w:rsid w:val="00515266"/>
    <w:rsid w:val="00540F2A"/>
    <w:rsid w:val="00581AA9"/>
    <w:rsid w:val="00584492"/>
    <w:rsid w:val="00590E40"/>
    <w:rsid w:val="005920F9"/>
    <w:rsid w:val="005955E1"/>
    <w:rsid w:val="005B28EC"/>
    <w:rsid w:val="005D15D1"/>
    <w:rsid w:val="005D6226"/>
    <w:rsid w:val="005F7645"/>
    <w:rsid w:val="006105C3"/>
    <w:rsid w:val="00614862"/>
    <w:rsid w:val="00645CBF"/>
    <w:rsid w:val="00681A1A"/>
    <w:rsid w:val="00684550"/>
    <w:rsid w:val="00687DEB"/>
    <w:rsid w:val="006A14D2"/>
    <w:rsid w:val="006D232C"/>
    <w:rsid w:val="006D530C"/>
    <w:rsid w:val="006D78EE"/>
    <w:rsid w:val="00706A84"/>
    <w:rsid w:val="0073080D"/>
    <w:rsid w:val="00733BF4"/>
    <w:rsid w:val="00740B73"/>
    <w:rsid w:val="00755BC0"/>
    <w:rsid w:val="0075758E"/>
    <w:rsid w:val="0077453E"/>
    <w:rsid w:val="007D43D9"/>
    <w:rsid w:val="007F2E3D"/>
    <w:rsid w:val="007F5758"/>
    <w:rsid w:val="008240E4"/>
    <w:rsid w:val="008267E1"/>
    <w:rsid w:val="008273FE"/>
    <w:rsid w:val="00845329"/>
    <w:rsid w:val="00870CB2"/>
    <w:rsid w:val="0088666F"/>
    <w:rsid w:val="0089556F"/>
    <w:rsid w:val="008B7F08"/>
    <w:rsid w:val="008C530F"/>
    <w:rsid w:val="008C62B6"/>
    <w:rsid w:val="008C6C26"/>
    <w:rsid w:val="008E0127"/>
    <w:rsid w:val="008F74FC"/>
    <w:rsid w:val="00911E22"/>
    <w:rsid w:val="00917237"/>
    <w:rsid w:val="00922674"/>
    <w:rsid w:val="00926377"/>
    <w:rsid w:val="00933729"/>
    <w:rsid w:val="009526BC"/>
    <w:rsid w:val="0097169C"/>
    <w:rsid w:val="009A6541"/>
    <w:rsid w:val="009E2D95"/>
    <w:rsid w:val="00A20436"/>
    <w:rsid w:val="00A426FE"/>
    <w:rsid w:val="00A55CF7"/>
    <w:rsid w:val="00A92733"/>
    <w:rsid w:val="00A934AB"/>
    <w:rsid w:val="00AF5B89"/>
    <w:rsid w:val="00B27EEA"/>
    <w:rsid w:val="00B31247"/>
    <w:rsid w:val="00B31D9F"/>
    <w:rsid w:val="00B40D71"/>
    <w:rsid w:val="00B42722"/>
    <w:rsid w:val="00B71AEE"/>
    <w:rsid w:val="00B872A0"/>
    <w:rsid w:val="00BC2884"/>
    <w:rsid w:val="00BD2225"/>
    <w:rsid w:val="00C13FA2"/>
    <w:rsid w:val="00C15E40"/>
    <w:rsid w:val="00C160A4"/>
    <w:rsid w:val="00C431DD"/>
    <w:rsid w:val="00C45F4F"/>
    <w:rsid w:val="00CC0AC1"/>
    <w:rsid w:val="00CC2892"/>
    <w:rsid w:val="00CC2A8B"/>
    <w:rsid w:val="00D04DCC"/>
    <w:rsid w:val="00D0513C"/>
    <w:rsid w:val="00D42D06"/>
    <w:rsid w:val="00D65D0A"/>
    <w:rsid w:val="00D75AC6"/>
    <w:rsid w:val="00D75FD3"/>
    <w:rsid w:val="00D766C3"/>
    <w:rsid w:val="00D83917"/>
    <w:rsid w:val="00D83EBD"/>
    <w:rsid w:val="00DB2074"/>
    <w:rsid w:val="00DF3117"/>
    <w:rsid w:val="00DF3573"/>
    <w:rsid w:val="00DF52E0"/>
    <w:rsid w:val="00E1035D"/>
    <w:rsid w:val="00E12C5B"/>
    <w:rsid w:val="00E141CF"/>
    <w:rsid w:val="00E405CF"/>
    <w:rsid w:val="00E5142E"/>
    <w:rsid w:val="00E517A4"/>
    <w:rsid w:val="00E760FB"/>
    <w:rsid w:val="00EE18A1"/>
    <w:rsid w:val="00EE5928"/>
    <w:rsid w:val="00EF6053"/>
    <w:rsid w:val="00F2614E"/>
    <w:rsid w:val="00F81AEB"/>
    <w:rsid w:val="00F82A7E"/>
    <w:rsid w:val="00FA1B64"/>
    <w:rsid w:val="00FA2C02"/>
    <w:rsid w:val="00FA51F8"/>
    <w:rsid w:val="00FE075A"/>
    <w:rsid w:val="00FE0904"/>
    <w:rsid w:val="00FE1319"/>
    <w:rsid w:val="00FF238B"/>
    <w:rsid w:val="159C37D9"/>
    <w:rsid w:val="287F1AB6"/>
    <w:rsid w:val="31BE4652"/>
    <w:rsid w:val="511C02AF"/>
    <w:rsid w:val="53FB643A"/>
    <w:rsid w:val="57B17A8C"/>
    <w:rsid w:val="60D8222B"/>
    <w:rsid w:val="6B1F3A09"/>
    <w:rsid w:val="796F0529"/>
    <w:rsid w:val="798A0347"/>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sz w:val="18"/>
      <w:szCs w:val="18"/>
    </w:rPr>
  </w:style>
  <w:style w:type="paragraph" w:styleId="3">
    <w:name w:val="annotation text"/>
    <w:basedOn w:val="1"/>
    <w:link w:val="17"/>
    <w:semiHidden/>
    <w:unhideWhenUsed/>
    <w:qFormat/>
    <w:uiPriority w:val="99"/>
    <w:pPr>
      <w:jc w:val="left"/>
    </w:pPr>
  </w:style>
  <w:style w:type="paragraph" w:styleId="4">
    <w:name w:val="Body Text Indent 2"/>
    <w:basedOn w:val="1"/>
    <w:link w:val="23"/>
    <w:qFormat/>
    <w:uiPriority w:val="0"/>
    <w:pPr>
      <w:spacing w:after="120" w:line="480" w:lineRule="auto"/>
      <w:ind w:left="420" w:leftChars="200"/>
    </w:pPr>
    <w:rPr>
      <w:rFonts w:ascii="Times New Roman" w:hAnsi="Times New Roman"/>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character" w:styleId="11">
    <w:name w:val="Strong"/>
    <w:qFormat/>
    <w:uiPriority w:val="0"/>
    <w:rPr>
      <w:b/>
      <w:bCs/>
    </w:rPr>
  </w:style>
  <w:style w:type="character" w:styleId="12">
    <w:name w:val="Hyperlink"/>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字符"/>
    <w:basedOn w:val="10"/>
    <w:link w:val="7"/>
    <w:qFormat/>
    <w:uiPriority w:val="99"/>
    <w:rPr>
      <w:rFonts w:ascii="Calibri" w:hAnsi="Calibri" w:eastAsia="宋体" w:cs="Times New Roman"/>
      <w:sz w:val="18"/>
      <w:szCs w:val="18"/>
    </w:rPr>
  </w:style>
  <w:style w:type="character" w:customStyle="1" w:styleId="16">
    <w:name w:val="页脚 字符"/>
    <w:basedOn w:val="10"/>
    <w:link w:val="6"/>
    <w:qFormat/>
    <w:uiPriority w:val="99"/>
    <w:rPr>
      <w:rFonts w:ascii="Calibri" w:hAnsi="Calibri" w:eastAsia="宋体" w:cs="Times New Roman"/>
      <w:sz w:val="18"/>
      <w:szCs w:val="18"/>
    </w:rPr>
  </w:style>
  <w:style w:type="character" w:customStyle="1" w:styleId="17">
    <w:name w:val="批注文字 字符"/>
    <w:basedOn w:val="10"/>
    <w:link w:val="3"/>
    <w:semiHidden/>
    <w:qFormat/>
    <w:uiPriority w:val="99"/>
    <w:rPr>
      <w:rFonts w:ascii="Calibri" w:hAnsi="Calibri" w:eastAsia="宋体" w:cs="Times New Roman"/>
    </w:rPr>
  </w:style>
  <w:style w:type="character" w:customStyle="1" w:styleId="18">
    <w:name w:val="批注主题 字符"/>
    <w:basedOn w:val="17"/>
    <w:link w:val="8"/>
    <w:semiHidden/>
    <w:qFormat/>
    <w:uiPriority w:val="99"/>
    <w:rPr>
      <w:rFonts w:ascii="Calibri" w:hAnsi="Calibri" w:eastAsia="宋体" w:cs="Times New Roman"/>
      <w:b/>
      <w:bCs/>
    </w:rPr>
  </w:style>
  <w:style w:type="character" w:customStyle="1" w:styleId="19">
    <w:name w:val="批注框文本 字符"/>
    <w:basedOn w:val="10"/>
    <w:link w:val="5"/>
    <w:semiHidden/>
    <w:qFormat/>
    <w:uiPriority w:val="99"/>
    <w:rPr>
      <w:rFonts w:ascii="Calibri" w:hAnsi="Calibri" w:eastAsia="宋体" w:cs="Times New Roman"/>
      <w:sz w:val="18"/>
      <w:szCs w:val="18"/>
    </w:rPr>
  </w:style>
  <w:style w:type="character" w:customStyle="1" w:styleId="20">
    <w:name w:val="文档结构图 字符"/>
    <w:basedOn w:val="10"/>
    <w:link w:val="2"/>
    <w:semiHidden/>
    <w:qFormat/>
    <w:uiPriority w:val="99"/>
    <w:rPr>
      <w:rFonts w:ascii="宋体" w:hAnsi="Calibri" w:eastAsia="宋体" w:cs="Times New Roman"/>
      <w:sz w:val="18"/>
      <w:szCs w:val="18"/>
    </w:rPr>
  </w:style>
  <w:style w:type="paragraph" w:customStyle="1" w:styleId="21">
    <w:name w:val="列表段落1"/>
    <w:basedOn w:val="1"/>
    <w:qFormat/>
    <w:uiPriority w:val="99"/>
    <w:pPr>
      <w:widowControl/>
      <w:ind w:firstLine="420" w:firstLineChars="200"/>
      <w:jc w:val="left"/>
    </w:pPr>
    <w:rPr>
      <w:rFonts w:ascii="宋体" w:hAnsi="宋体" w:cs="宋体"/>
      <w:kern w:val="0"/>
      <w:sz w:val="24"/>
      <w:szCs w:val="24"/>
    </w:rPr>
  </w:style>
  <w:style w:type="character" w:customStyle="1" w:styleId="22">
    <w:name w:val="正文文本缩进 2 Char"/>
    <w:basedOn w:val="10"/>
    <w:semiHidden/>
    <w:qFormat/>
    <w:uiPriority w:val="99"/>
    <w:rPr>
      <w:rFonts w:ascii="Calibri" w:hAnsi="Calibri" w:eastAsia="宋体" w:cs="Times New Roman"/>
    </w:rPr>
  </w:style>
  <w:style w:type="character" w:customStyle="1" w:styleId="23">
    <w:name w:val="正文文本缩进 2 字符"/>
    <w:link w:val="4"/>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677D-CA05-4499-89F3-1C85819DF8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8649</Words>
  <Characters>8843</Characters>
  <Lines>64</Lines>
  <Paragraphs>18</Paragraphs>
  <TotalTime>69</TotalTime>
  <ScaleCrop>false</ScaleCrop>
  <LinksUpToDate>false</LinksUpToDate>
  <CharactersWithSpaces>8975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2021-12-14T03:20:00Z</dcterms:created>
  <dc:creator>admin</dc:creator>
  <cp:lastModifiedBy>QSL</cp:lastModifiedBy>
  <dcterms:modified xsi:type="dcterms:W3CDTF">2023-04-06T01:17:29Z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811492F1B1E54806A05A2CA7871CA196</vt:lpwstr>
  </property>
</Properties>
</file>